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Pr="0024768B" w:rsidRDefault="00772BDC" w:rsidP="00CA5734">
      <w:pPr>
        <w:rPr>
          <w:rFonts w:cs="Arial"/>
        </w:rPr>
      </w:pPr>
      <w:bookmarkStart w:id="0" w:name="_GoBack"/>
      <w:bookmarkEnd w:id="0"/>
      <w:r w:rsidRPr="0024768B">
        <w:rPr>
          <w:rFonts w:cs="Arial"/>
          <w:noProof/>
          <w:lang w:eastAsia="en-GB" w:bidi="ar-SA"/>
        </w:rPr>
        <w:drawing>
          <wp:inline distT="0" distB="0" distL="0" distR="0" wp14:anchorId="60A13901" wp14:editId="2414C6D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35227E" w:rsidRDefault="00A671E6" w:rsidP="00A671E6"/>
    <w:p w:rsidR="00A671E6" w:rsidRPr="0024768B" w:rsidRDefault="007B340C" w:rsidP="00A671E6">
      <w:pPr>
        <w:rPr>
          <w:sz w:val="28"/>
          <w:szCs w:val="28"/>
        </w:rPr>
      </w:pPr>
      <w:r w:rsidRPr="0024768B">
        <w:rPr>
          <w:sz w:val="28"/>
          <w:szCs w:val="28"/>
        </w:rPr>
        <w:t>March 2014</w:t>
      </w:r>
    </w:p>
    <w:p w:rsidR="00A671E6" w:rsidRPr="0024768B" w:rsidRDefault="00A671E6" w:rsidP="00A671E6"/>
    <w:p w:rsidR="0012388D" w:rsidRPr="0024768B" w:rsidRDefault="00A478B7" w:rsidP="00B425AA">
      <w:pPr>
        <w:pStyle w:val="FSTitle"/>
        <w:rPr>
          <w:color w:val="17365D" w:themeColor="text2" w:themeShade="BF"/>
        </w:rPr>
      </w:pPr>
      <w:r w:rsidRPr="0024768B">
        <w:rPr>
          <w:color w:val="17365D" w:themeColor="text2" w:themeShade="BF"/>
        </w:rPr>
        <w:t>Technical Evaluation for Labelling Review Recommendation</w:t>
      </w:r>
      <w:r w:rsidR="004E4F85" w:rsidRPr="0024768B">
        <w:rPr>
          <w:color w:val="17365D" w:themeColor="text2" w:themeShade="BF"/>
        </w:rPr>
        <w:t xml:space="preserve"> 14</w:t>
      </w:r>
      <w:r w:rsidR="00921090" w:rsidRPr="0024768B">
        <w:rPr>
          <w:color w:val="17365D" w:themeColor="text2" w:themeShade="BF"/>
        </w:rPr>
        <w:t>:</w:t>
      </w:r>
    </w:p>
    <w:p w:rsidR="0012388D" w:rsidRPr="0024768B" w:rsidRDefault="004E4F85" w:rsidP="00B425AA">
      <w:pPr>
        <w:pStyle w:val="FSTitle"/>
        <w:rPr>
          <w:color w:val="17365D" w:themeColor="text2" w:themeShade="BF"/>
        </w:rPr>
      </w:pPr>
      <w:r w:rsidRPr="0024768B">
        <w:rPr>
          <w:color w:val="17365D" w:themeColor="text2" w:themeShade="BF"/>
        </w:rPr>
        <w:t xml:space="preserve">Mandatory declaration of </w:t>
      </w:r>
      <w:r w:rsidR="00392BF1">
        <w:rPr>
          <w:color w:val="17365D" w:themeColor="text2" w:themeShade="BF"/>
        </w:rPr>
        <w:t xml:space="preserve">total and naturally occurring </w:t>
      </w:r>
      <w:r w:rsidRPr="0024768B">
        <w:rPr>
          <w:color w:val="17365D" w:themeColor="text2" w:themeShade="BF"/>
        </w:rPr>
        <w:t>dietary fibre in the nutrition information panel</w:t>
      </w:r>
    </w:p>
    <w:p w:rsidR="003A7B84" w:rsidRPr="0024768B" w:rsidRDefault="003A7B84" w:rsidP="00871116">
      <w:pPr>
        <w:pBdr>
          <w:bottom w:val="single" w:sz="12" w:space="1" w:color="auto"/>
        </w:pBdr>
        <w:tabs>
          <w:tab w:val="left" w:pos="1140"/>
        </w:tabs>
        <w:rPr>
          <w:rFonts w:cs="Arial"/>
          <w:bCs/>
        </w:rPr>
      </w:pPr>
    </w:p>
    <w:p w:rsidR="003A7B84" w:rsidRPr="0024768B" w:rsidRDefault="003A7B84" w:rsidP="003A7B84"/>
    <w:p w:rsidR="007B340C" w:rsidRPr="0024768B" w:rsidRDefault="007B340C" w:rsidP="007B340C">
      <w:pPr>
        <w:pStyle w:val="Heading1"/>
        <w:rPr>
          <w:rFonts w:cs="Tahoma"/>
          <w:sz w:val="28"/>
        </w:rPr>
      </w:pPr>
      <w:bookmarkStart w:id="1" w:name="_Toc374540812"/>
      <w:bookmarkStart w:id="2" w:name="_Toc379448901"/>
      <w:r w:rsidRPr="0024768B">
        <w:t>Executive summary</w:t>
      </w:r>
      <w:bookmarkEnd w:id="1"/>
      <w:bookmarkEnd w:id="2"/>
    </w:p>
    <w:p w:rsidR="00A00D5A" w:rsidRDefault="00A00D5A" w:rsidP="00A00D5A">
      <w:pPr>
        <w:autoSpaceDE w:val="0"/>
        <w:autoSpaceDN w:val="0"/>
        <w:adjustRightInd w:val="0"/>
        <w:rPr>
          <w:rFonts w:cs="Arial"/>
          <w:bCs/>
        </w:rPr>
      </w:pPr>
      <w:r w:rsidRPr="00E11E6E">
        <w:rPr>
          <w:rFonts w:cs="Arial"/>
          <w:bCs/>
        </w:rPr>
        <w:t xml:space="preserve">In 2009, </w:t>
      </w:r>
      <w:r>
        <w:rPr>
          <w:rFonts w:cs="Arial"/>
          <w:bCs/>
        </w:rPr>
        <w:t xml:space="preserve">the then </w:t>
      </w:r>
      <w:r w:rsidRPr="00E11E6E">
        <w:rPr>
          <w:rFonts w:cs="Arial"/>
          <w:bCs/>
        </w:rPr>
        <w:t xml:space="preserve">Australian and New Zealand </w:t>
      </w:r>
      <w:r>
        <w:rPr>
          <w:rFonts w:cs="Arial"/>
          <w:bCs/>
        </w:rPr>
        <w:t xml:space="preserve">Ministerial Council for Food Regulation (now known as the COAG </w:t>
      </w:r>
      <w:r w:rsidRPr="002C3DF8">
        <w:rPr>
          <w:rFonts w:cs="Arial"/>
          <w:bCs/>
        </w:rPr>
        <w:t>Legislative and Governance Forum on Food Regulation</w:t>
      </w:r>
      <w:r>
        <w:rPr>
          <w:rFonts w:cs="Arial"/>
          <w:bCs/>
        </w:rPr>
        <w:t xml:space="preserve"> (Forum))</w:t>
      </w:r>
      <w:r w:rsidRPr="00E11E6E">
        <w:rPr>
          <w:rFonts w:cs="Arial"/>
          <w:bCs/>
        </w:rPr>
        <w:t xml:space="preserve"> agreed to </w:t>
      </w:r>
      <w:r w:rsidR="00A0420B">
        <w:rPr>
          <w:rFonts w:cs="Arial"/>
          <w:bCs/>
        </w:rPr>
        <w:t xml:space="preserve">proceeding with </w:t>
      </w:r>
      <w:r w:rsidRPr="00E11E6E">
        <w:rPr>
          <w:rFonts w:cs="Arial"/>
          <w:bCs/>
        </w:rPr>
        <w:t xml:space="preserve">a comprehensive independent review of food labelling law and policy. An expert panel, chaired by Dr Neal Blewett, AC, undertook the review and the panel’s final report, </w:t>
      </w:r>
      <w:r w:rsidRPr="00B7149D">
        <w:rPr>
          <w:i/>
          <w:lang w:val="en-AU"/>
        </w:rPr>
        <w:t>Labelling Logic</w:t>
      </w:r>
      <w:r>
        <w:rPr>
          <w:i/>
          <w:lang w:val="en-AU"/>
        </w:rPr>
        <w:t>: Review of Food Labelling Law and Policy (2011</w:t>
      </w:r>
      <w:r w:rsidRPr="0043521C">
        <w:rPr>
          <w:i/>
          <w:lang w:val="en-AU"/>
        </w:rPr>
        <w:t xml:space="preserve">) </w:t>
      </w:r>
      <w:r w:rsidRPr="0043521C">
        <w:rPr>
          <w:lang w:val="en-AU"/>
        </w:rPr>
        <w:t>(Labelling Logic)</w:t>
      </w:r>
      <w:r>
        <w:rPr>
          <w:i/>
          <w:lang w:val="en-AU"/>
        </w:rPr>
        <w:t xml:space="preserve"> </w:t>
      </w:r>
      <w:r w:rsidRPr="00E11E6E">
        <w:rPr>
          <w:rFonts w:cs="Arial"/>
          <w:bCs/>
        </w:rPr>
        <w:t xml:space="preserve">was publicly released </w:t>
      </w:r>
      <w:r>
        <w:rPr>
          <w:rFonts w:cs="Arial"/>
          <w:bCs/>
        </w:rPr>
        <w:t>in</w:t>
      </w:r>
      <w:r w:rsidRPr="00E11E6E">
        <w:rPr>
          <w:rFonts w:cs="Arial"/>
          <w:bCs/>
        </w:rPr>
        <w:t xml:space="preserve"> January 2011.</w:t>
      </w:r>
    </w:p>
    <w:p w:rsidR="00A00D5A" w:rsidRDefault="00A00D5A" w:rsidP="00A00D5A">
      <w:pPr>
        <w:autoSpaceDE w:val="0"/>
        <w:autoSpaceDN w:val="0"/>
        <w:adjustRightInd w:val="0"/>
        <w:rPr>
          <w:rFonts w:cs="Arial"/>
          <w:bCs/>
        </w:rPr>
      </w:pPr>
    </w:p>
    <w:p w:rsidR="00A00D5A" w:rsidRPr="0024768B" w:rsidRDefault="00A00D5A" w:rsidP="00A00D5A">
      <w:pPr>
        <w:rPr>
          <w:szCs w:val="22"/>
        </w:rPr>
      </w:pPr>
      <w:r w:rsidRPr="0024768B">
        <w:rPr>
          <w:rStyle w:val="ms-rtefontsize-21"/>
          <w:rFonts w:cs="Arial"/>
          <w:sz w:val="22"/>
          <w:szCs w:val="22"/>
        </w:rPr>
        <w:t xml:space="preserve">Recommendation 14 from Labelling Logic </w:t>
      </w:r>
      <w:r w:rsidR="00042A65">
        <w:rPr>
          <w:rStyle w:val="ms-rtefontsize-21"/>
          <w:rFonts w:cs="Arial"/>
          <w:sz w:val="22"/>
          <w:szCs w:val="22"/>
        </w:rPr>
        <w:t>stated</w:t>
      </w:r>
      <w:r w:rsidR="00042A65" w:rsidRPr="0024768B">
        <w:rPr>
          <w:rStyle w:val="ms-rtefontsize-21"/>
          <w:rFonts w:cs="Arial"/>
          <w:sz w:val="22"/>
          <w:szCs w:val="22"/>
        </w:rPr>
        <w:t xml:space="preserve"> </w:t>
      </w:r>
      <w:r w:rsidRPr="0024768B">
        <w:rPr>
          <w:rStyle w:val="ms-rtefontsize-21"/>
          <w:rFonts w:cs="Arial"/>
          <w:b/>
          <w:sz w:val="22"/>
          <w:szCs w:val="22"/>
        </w:rPr>
        <w:t>that declaration of total and naturally occurring fibre content be considered as a mandatory requirement in the Nutrition Information Panel (NIP)</w:t>
      </w:r>
      <w:r w:rsidRPr="0024768B">
        <w:rPr>
          <w:rStyle w:val="ms-rtefontsize-21"/>
          <w:rFonts w:cs="Arial"/>
          <w:sz w:val="22"/>
          <w:szCs w:val="22"/>
        </w:rPr>
        <w:t>.</w:t>
      </w:r>
      <w:r w:rsidR="001C20F0">
        <w:rPr>
          <w:rStyle w:val="ms-rtefontsize-21"/>
          <w:rFonts w:cs="Arial"/>
          <w:sz w:val="22"/>
          <w:szCs w:val="22"/>
        </w:rPr>
        <w:t xml:space="preserve"> </w:t>
      </w:r>
      <w:r w:rsidR="001C20F0" w:rsidRPr="00574FD8">
        <w:rPr>
          <w:rFonts w:cs="Arial"/>
          <w:szCs w:val="22"/>
        </w:rPr>
        <w:t>Currently, mandatory declaration of total dietary fibre in the NIP is not required</w:t>
      </w:r>
      <w:r w:rsidR="007C316E" w:rsidRPr="00574FD8">
        <w:rPr>
          <w:rFonts w:cs="Arial"/>
          <w:szCs w:val="22"/>
        </w:rPr>
        <w:t xml:space="preserve"> (although voluntary declarations are permitted)</w:t>
      </w:r>
      <w:r w:rsidR="001C20F0" w:rsidRPr="00574FD8">
        <w:rPr>
          <w:rFonts w:cs="Arial"/>
          <w:szCs w:val="22"/>
        </w:rPr>
        <w:t xml:space="preserve">, </w:t>
      </w:r>
      <w:r w:rsidR="001C20F0" w:rsidRPr="00574FD8">
        <w:t xml:space="preserve">unless </w:t>
      </w:r>
      <w:r w:rsidR="00574FD8" w:rsidRPr="00574FD8">
        <w:t xml:space="preserve">nutrition content or health </w:t>
      </w:r>
      <w:r w:rsidR="001C20F0" w:rsidRPr="00574FD8">
        <w:t xml:space="preserve">claims are made </w:t>
      </w:r>
      <w:r w:rsidR="00574FD8" w:rsidRPr="00574FD8">
        <w:t>about dietary</w:t>
      </w:r>
      <w:r w:rsidR="001C20F0" w:rsidRPr="00574FD8">
        <w:t xml:space="preserve"> fibre, any specifically named fibre, sugars or any other types of carbohydrate. </w:t>
      </w:r>
      <w:r w:rsidR="007C316E" w:rsidRPr="00574FD8">
        <w:t>There are no requirements to declare the naturally occurring dietary fibre content of a food</w:t>
      </w:r>
      <w:r w:rsidR="001C20F0" w:rsidRPr="00574FD8">
        <w:t>.</w:t>
      </w:r>
    </w:p>
    <w:p w:rsidR="00A00D5A" w:rsidRPr="0024768B" w:rsidRDefault="00A00D5A" w:rsidP="00A00D5A">
      <w:pPr>
        <w:keepNext/>
        <w:rPr>
          <w:rFonts w:cs="Arial"/>
          <w:b/>
        </w:rPr>
      </w:pPr>
    </w:p>
    <w:p w:rsidR="00810DA7" w:rsidRDefault="00574FD8" w:rsidP="00A00D5A">
      <w:pPr>
        <w:pStyle w:val="Default"/>
        <w:rPr>
          <w:rFonts w:ascii="Arial" w:hAnsi="Arial" w:cs="Arial"/>
          <w:sz w:val="22"/>
          <w:szCs w:val="22"/>
          <w:lang w:val="en-GB"/>
        </w:rPr>
      </w:pPr>
      <w:r>
        <w:rPr>
          <w:rFonts w:ascii="Arial" w:hAnsi="Arial" w:cs="Arial"/>
          <w:sz w:val="22"/>
          <w:szCs w:val="22"/>
          <w:lang w:val="en-GB"/>
        </w:rPr>
        <w:t>I</w:t>
      </w:r>
      <w:r w:rsidRPr="0024768B">
        <w:rPr>
          <w:rFonts w:ascii="Arial" w:hAnsi="Arial" w:cs="Arial"/>
          <w:sz w:val="22"/>
          <w:szCs w:val="22"/>
          <w:lang w:val="en-GB"/>
        </w:rPr>
        <w:t>n 2011</w:t>
      </w:r>
      <w:r>
        <w:rPr>
          <w:rFonts w:ascii="Arial" w:hAnsi="Arial" w:cs="Arial"/>
          <w:sz w:val="22"/>
          <w:szCs w:val="22"/>
          <w:lang w:val="en-GB"/>
        </w:rPr>
        <w:t>,</w:t>
      </w:r>
      <w:r w:rsidRPr="0024768B">
        <w:rPr>
          <w:rFonts w:ascii="Arial" w:hAnsi="Arial" w:cs="Arial"/>
          <w:sz w:val="22"/>
          <w:szCs w:val="22"/>
          <w:lang w:val="en-GB"/>
        </w:rPr>
        <w:t xml:space="preserve"> </w:t>
      </w:r>
      <w:r>
        <w:rPr>
          <w:rFonts w:ascii="Arial" w:hAnsi="Arial" w:cs="Arial"/>
          <w:sz w:val="22"/>
          <w:szCs w:val="22"/>
          <w:lang w:val="en-GB"/>
        </w:rPr>
        <w:t>t</w:t>
      </w:r>
      <w:r w:rsidR="00A00D5A" w:rsidRPr="0024768B">
        <w:rPr>
          <w:rFonts w:ascii="Arial" w:hAnsi="Arial" w:cs="Arial"/>
          <w:sz w:val="22"/>
          <w:szCs w:val="22"/>
          <w:lang w:val="en-GB"/>
        </w:rPr>
        <w:t xml:space="preserve">he Forum provided a response to the </w:t>
      </w:r>
      <w:r w:rsidR="00A00D5A" w:rsidRPr="0024768B">
        <w:rPr>
          <w:rFonts w:ascii="Arial" w:hAnsi="Arial" w:cs="Arial"/>
          <w:i/>
          <w:sz w:val="22"/>
          <w:szCs w:val="22"/>
          <w:lang w:val="en-GB"/>
        </w:rPr>
        <w:t>Labelling Logic</w:t>
      </w:r>
      <w:r w:rsidR="00A00D5A" w:rsidRPr="0024768B">
        <w:rPr>
          <w:rFonts w:ascii="Arial" w:hAnsi="Arial" w:cs="Arial"/>
          <w:sz w:val="22"/>
          <w:szCs w:val="22"/>
          <w:lang w:val="en-GB"/>
        </w:rPr>
        <w:t xml:space="preserve"> report which considered Recommendation 14 in association with two other </w:t>
      </w:r>
      <w:r w:rsidR="00A00D5A" w:rsidRPr="00A00D5A">
        <w:rPr>
          <w:rFonts w:ascii="Arial" w:hAnsi="Arial" w:cs="Arial"/>
          <w:sz w:val="22"/>
          <w:szCs w:val="22"/>
          <w:lang w:val="en-GB"/>
        </w:rPr>
        <w:t xml:space="preserve">recommendations (Recommendations 12 and 13) also </w:t>
      </w:r>
      <w:r w:rsidR="005822F8">
        <w:rPr>
          <w:rFonts w:ascii="Arial" w:hAnsi="Arial" w:cs="Arial"/>
          <w:sz w:val="22"/>
          <w:szCs w:val="22"/>
          <w:lang w:val="en-GB"/>
        </w:rPr>
        <w:t>relating to NIP declarations</w:t>
      </w:r>
      <w:r w:rsidR="005822F8" w:rsidRPr="00A00D5A">
        <w:rPr>
          <w:rFonts w:ascii="Arial" w:hAnsi="Arial" w:cs="Arial"/>
          <w:sz w:val="22"/>
          <w:szCs w:val="22"/>
          <w:lang w:val="en-GB"/>
        </w:rPr>
        <w:t xml:space="preserve"> </w:t>
      </w:r>
      <w:r w:rsidR="005822F8">
        <w:rPr>
          <w:rFonts w:ascii="Arial" w:hAnsi="Arial" w:cs="Arial"/>
          <w:sz w:val="22"/>
          <w:szCs w:val="22"/>
          <w:lang w:val="en-GB"/>
        </w:rPr>
        <w:t>along with ingredient listing</w:t>
      </w:r>
      <w:r w:rsidR="00A00D5A" w:rsidRPr="00A00D5A">
        <w:rPr>
          <w:rFonts w:ascii="Arial" w:hAnsi="Arial" w:cs="Arial"/>
          <w:sz w:val="22"/>
          <w:szCs w:val="22"/>
          <w:lang w:val="en-GB"/>
        </w:rPr>
        <w:t xml:space="preserve">. The Forum </w:t>
      </w:r>
      <w:r>
        <w:rPr>
          <w:rFonts w:ascii="Arial" w:hAnsi="Arial" w:cs="Arial"/>
          <w:sz w:val="22"/>
          <w:szCs w:val="22"/>
          <w:lang w:val="en-GB"/>
        </w:rPr>
        <w:t>asked</w:t>
      </w:r>
      <w:r w:rsidR="00A00D5A" w:rsidRPr="00A00D5A">
        <w:rPr>
          <w:rFonts w:ascii="Arial" w:hAnsi="Arial" w:cs="Arial"/>
          <w:sz w:val="22"/>
          <w:szCs w:val="22"/>
          <w:lang w:val="en-GB"/>
        </w:rPr>
        <w:t xml:space="preserve"> FSANZ </w:t>
      </w:r>
      <w:r>
        <w:rPr>
          <w:rFonts w:ascii="Arial" w:hAnsi="Arial" w:cs="Arial"/>
          <w:sz w:val="22"/>
          <w:szCs w:val="22"/>
          <w:lang w:val="en-GB"/>
        </w:rPr>
        <w:t xml:space="preserve">to </w:t>
      </w:r>
      <w:r w:rsidR="00A00D5A" w:rsidRPr="00A00D5A">
        <w:rPr>
          <w:rFonts w:ascii="Arial" w:hAnsi="Arial" w:cs="Arial"/>
          <w:sz w:val="22"/>
          <w:szCs w:val="22"/>
          <w:lang w:val="en-GB"/>
        </w:rPr>
        <w:t>undertake a technical evaluation and provide advice on the</w:t>
      </w:r>
      <w:r w:rsidR="00A00D5A">
        <w:rPr>
          <w:rFonts w:ascii="Arial" w:hAnsi="Arial" w:cs="Arial"/>
          <w:sz w:val="22"/>
          <w:szCs w:val="22"/>
          <w:lang w:val="en-GB"/>
        </w:rPr>
        <w:t>se</w:t>
      </w:r>
      <w:r w:rsidR="00A00D5A" w:rsidRPr="00A00D5A">
        <w:rPr>
          <w:rFonts w:ascii="Arial" w:hAnsi="Arial" w:cs="Arial"/>
          <w:sz w:val="22"/>
          <w:szCs w:val="22"/>
          <w:lang w:val="en-GB"/>
        </w:rPr>
        <w:t xml:space="preserve"> proposed changes to the ingredient listing and NIP. However</w:t>
      </w:r>
      <w:r w:rsidR="00A97285">
        <w:rPr>
          <w:rFonts w:ascii="Arial" w:hAnsi="Arial" w:cs="Arial"/>
          <w:sz w:val="22"/>
          <w:szCs w:val="22"/>
          <w:lang w:val="en-GB"/>
        </w:rPr>
        <w:t>,</w:t>
      </w:r>
      <w:r w:rsidR="00A00D5A" w:rsidRPr="00A00D5A">
        <w:rPr>
          <w:rFonts w:ascii="Arial" w:hAnsi="Arial" w:cs="Arial"/>
          <w:sz w:val="22"/>
          <w:szCs w:val="22"/>
          <w:lang w:val="en-GB"/>
        </w:rPr>
        <w:t xml:space="preserve"> </w:t>
      </w:r>
      <w:r w:rsidR="00A00D5A" w:rsidRPr="0024768B">
        <w:rPr>
          <w:rFonts w:ascii="Arial" w:hAnsi="Arial" w:cs="Arial"/>
          <w:sz w:val="22"/>
          <w:szCs w:val="22"/>
          <w:lang w:val="en-GB"/>
        </w:rPr>
        <w:t xml:space="preserve">FSANZ has progressed </w:t>
      </w:r>
      <w:r w:rsidR="00A00D5A">
        <w:rPr>
          <w:rFonts w:ascii="Arial" w:hAnsi="Arial" w:cs="Arial"/>
          <w:sz w:val="22"/>
          <w:szCs w:val="22"/>
          <w:lang w:val="en-GB"/>
        </w:rPr>
        <w:t>its</w:t>
      </w:r>
      <w:r w:rsidR="00A00D5A" w:rsidRPr="0024768B">
        <w:rPr>
          <w:rFonts w:ascii="Arial" w:hAnsi="Arial" w:cs="Arial"/>
          <w:sz w:val="22"/>
          <w:szCs w:val="22"/>
          <w:lang w:val="en-GB"/>
        </w:rPr>
        <w:t xml:space="preserve"> technical evaluation and advice on </w:t>
      </w:r>
      <w:r w:rsidR="00A00D5A">
        <w:rPr>
          <w:rFonts w:ascii="Arial" w:hAnsi="Arial" w:cs="Arial"/>
          <w:sz w:val="22"/>
          <w:szCs w:val="22"/>
          <w:lang w:val="en-GB"/>
        </w:rPr>
        <w:t>Recommendation 14</w:t>
      </w:r>
      <w:r w:rsidR="00A00D5A" w:rsidRPr="0024768B">
        <w:rPr>
          <w:rFonts w:ascii="Arial" w:hAnsi="Arial" w:cs="Arial"/>
          <w:sz w:val="22"/>
          <w:szCs w:val="22"/>
          <w:lang w:val="en-GB"/>
        </w:rPr>
        <w:t xml:space="preserve"> separately</w:t>
      </w:r>
      <w:r w:rsidR="00A00D5A">
        <w:rPr>
          <w:rFonts w:ascii="Arial" w:hAnsi="Arial" w:cs="Arial"/>
          <w:sz w:val="22"/>
          <w:szCs w:val="22"/>
          <w:lang w:val="en-GB"/>
        </w:rPr>
        <w:t>, because of</w:t>
      </w:r>
      <w:r w:rsidR="00A00D5A" w:rsidRPr="0024768B">
        <w:rPr>
          <w:rFonts w:ascii="Arial" w:hAnsi="Arial" w:cs="Arial"/>
          <w:sz w:val="22"/>
          <w:szCs w:val="22"/>
          <w:lang w:val="en-GB"/>
        </w:rPr>
        <w:t xml:space="preserve"> the diverse nature of the specific issues involved in each of the three recommendations.</w:t>
      </w:r>
    </w:p>
    <w:p w:rsidR="00810DA7" w:rsidRDefault="00810DA7" w:rsidP="00A00D5A">
      <w:pPr>
        <w:pStyle w:val="Default"/>
        <w:rPr>
          <w:rFonts w:ascii="Arial" w:hAnsi="Arial" w:cs="Arial"/>
          <w:sz w:val="22"/>
          <w:szCs w:val="22"/>
          <w:lang w:val="en-GB"/>
        </w:rPr>
      </w:pPr>
    </w:p>
    <w:p w:rsidR="00A00D5A" w:rsidRPr="0024768B" w:rsidRDefault="004E5AEB" w:rsidP="00A00D5A">
      <w:pPr>
        <w:pStyle w:val="Default"/>
        <w:rPr>
          <w:rFonts w:ascii="Arial" w:hAnsi="Arial" w:cs="Arial"/>
          <w:sz w:val="22"/>
          <w:szCs w:val="22"/>
          <w:lang w:val="en-GB"/>
        </w:rPr>
      </w:pPr>
      <w:r>
        <w:rPr>
          <w:rFonts w:ascii="Arial" w:hAnsi="Arial" w:cs="Arial"/>
          <w:sz w:val="22"/>
          <w:szCs w:val="22"/>
          <w:lang w:val="en-GB"/>
        </w:rPr>
        <w:t>In relation to Recommendation 14, t</w:t>
      </w:r>
      <w:r w:rsidR="007A4FF0">
        <w:rPr>
          <w:rFonts w:ascii="Arial" w:hAnsi="Arial" w:cs="Arial"/>
          <w:sz w:val="22"/>
          <w:szCs w:val="22"/>
          <w:lang w:val="en-GB"/>
        </w:rPr>
        <w:t>he</w:t>
      </w:r>
      <w:r w:rsidR="007A4FF0" w:rsidRPr="0024768B">
        <w:rPr>
          <w:rFonts w:ascii="Arial" w:hAnsi="Arial" w:cs="Arial"/>
          <w:sz w:val="22"/>
          <w:szCs w:val="22"/>
          <w:lang w:val="en-GB"/>
        </w:rPr>
        <w:t xml:space="preserve"> Forum also noted that some industry stakeholders have concerns about the scientific basis and technical feasibility of distinguishing between </w:t>
      </w:r>
      <w:r w:rsidR="007A4FF0" w:rsidRPr="005E3AF0">
        <w:rPr>
          <w:rFonts w:ascii="Arial" w:hAnsi="Arial" w:cs="Arial"/>
          <w:sz w:val="22"/>
          <w:szCs w:val="22"/>
          <w:lang w:val="en-GB"/>
        </w:rPr>
        <w:t>naturally occurring</w:t>
      </w:r>
      <w:r w:rsidR="007A4FF0" w:rsidRPr="0024768B">
        <w:rPr>
          <w:rFonts w:ascii="Arial" w:hAnsi="Arial" w:cs="Arial"/>
          <w:sz w:val="22"/>
          <w:szCs w:val="22"/>
          <w:lang w:val="en-GB"/>
        </w:rPr>
        <w:t xml:space="preserve"> fibre and other fibre on the food label</w:t>
      </w:r>
      <w:r w:rsidR="00B1346F">
        <w:rPr>
          <w:rFonts w:ascii="Arial" w:hAnsi="Arial" w:cs="Arial"/>
          <w:sz w:val="22"/>
          <w:szCs w:val="22"/>
          <w:lang w:val="en-GB"/>
        </w:rPr>
        <w:t>.</w:t>
      </w:r>
    </w:p>
    <w:p w:rsidR="00B838F4" w:rsidRPr="0024768B" w:rsidRDefault="00B838F4" w:rsidP="00B838F4">
      <w:pPr>
        <w:rPr>
          <w:szCs w:val="22"/>
        </w:rPr>
      </w:pPr>
    </w:p>
    <w:p w:rsidR="00A00D5A" w:rsidRDefault="00A00D5A" w:rsidP="00A00D5A">
      <w:r>
        <w:t>In response to the Forum’s request for technical evaluation and advice, FSANZ has:</w:t>
      </w:r>
    </w:p>
    <w:p w:rsidR="00696C24" w:rsidRPr="0024768B" w:rsidRDefault="00AB63E3" w:rsidP="00607774">
      <w:pPr>
        <w:pStyle w:val="FSBullet1"/>
        <w:spacing w:before="120"/>
      </w:pPr>
      <w:r w:rsidRPr="0024768B">
        <w:t>conducted a scientific and technical assessment considering the types of dietary fibre in food, analytical and alternative techniques for estimating levels of natural</w:t>
      </w:r>
      <w:r>
        <w:t>ly occurring</w:t>
      </w:r>
      <w:r w:rsidRPr="0024768B">
        <w:t xml:space="preserve"> versus total dietary fibre, and the physiological effects of </w:t>
      </w:r>
      <w:r>
        <w:t xml:space="preserve">dietary fibre </w:t>
      </w:r>
    </w:p>
    <w:p w:rsidR="00B86179" w:rsidRPr="0024768B" w:rsidDel="005E3AF0" w:rsidRDefault="00B86179" w:rsidP="00B86179">
      <w:pPr>
        <w:pStyle w:val="FSBullet1"/>
        <w:spacing w:before="120"/>
      </w:pPr>
      <w:r w:rsidDel="005E3AF0">
        <w:t>compared</w:t>
      </w:r>
      <w:r w:rsidRPr="0024768B" w:rsidDel="005E3AF0">
        <w:t xml:space="preserve"> the current requirements and permissions in the Code for providing label information on the dietary fibre content of food</w:t>
      </w:r>
      <w:r w:rsidDel="005E3AF0">
        <w:t xml:space="preserve"> to those of overseas food regulations</w:t>
      </w:r>
    </w:p>
    <w:p w:rsidR="001C6BF7" w:rsidRPr="0035227E" w:rsidRDefault="001C6BF7">
      <w:pPr>
        <w:widowControl/>
        <w:rPr>
          <w:rFonts w:cs="Arial"/>
          <w:lang w:bidi="ar-SA"/>
        </w:rPr>
      </w:pPr>
      <w:r>
        <w:br w:type="page"/>
      </w:r>
    </w:p>
    <w:p w:rsidR="00A97B0F" w:rsidRPr="00A97B0F" w:rsidRDefault="00392BF1" w:rsidP="00607774">
      <w:pPr>
        <w:pStyle w:val="FSBullet1"/>
        <w:spacing w:before="120"/>
        <w:rPr>
          <w:snapToGrid w:val="0"/>
        </w:rPr>
      </w:pPr>
      <w:r>
        <w:lastRenderedPageBreak/>
        <w:t xml:space="preserve">undertaken preliminary consideration of </w:t>
      </w:r>
      <w:r w:rsidR="00A97B0F">
        <w:t xml:space="preserve">the impact of mandating </w:t>
      </w:r>
      <w:r w:rsidR="005E3AF0">
        <w:t xml:space="preserve">declaration of </w:t>
      </w:r>
      <w:r w:rsidR="00A97B0F">
        <w:t xml:space="preserve">total dietary fibre </w:t>
      </w:r>
      <w:r w:rsidR="005822F8">
        <w:t>in the NIP</w:t>
      </w:r>
      <w:r w:rsidR="00A97B0F">
        <w:t xml:space="preserve"> by:</w:t>
      </w:r>
    </w:p>
    <w:p w:rsidR="00696C24" w:rsidRPr="0024768B" w:rsidRDefault="00483A1E" w:rsidP="00FC5376">
      <w:pPr>
        <w:pStyle w:val="FSBullet2"/>
        <w:rPr>
          <w:snapToGrid w:val="0"/>
        </w:rPr>
      </w:pPr>
      <w:r>
        <w:t xml:space="preserve">completing </w:t>
      </w:r>
      <w:r w:rsidR="00696C24" w:rsidRPr="0024768B">
        <w:t xml:space="preserve">a </w:t>
      </w:r>
      <w:r w:rsidR="00392BF1">
        <w:t xml:space="preserve">rapid evidence assessment </w:t>
      </w:r>
      <w:r w:rsidR="00AB63E3">
        <w:t>of</w:t>
      </w:r>
      <w:r w:rsidRPr="0024768B">
        <w:t xml:space="preserve"> </w:t>
      </w:r>
      <w:r>
        <w:t>consumer</w:t>
      </w:r>
      <w:r w:rsidR="00696C24" w:rsidRPr="0024768B">
        <w:t xml:space="preserve"> knowledge, attitudes and behaviours relating to the declaration of dietary fibre in the NIP</w:t>
      </w:r>
    </w:p>
    <w:p w:rsidR="00696C24" w:rsidRPr="0024768B" w:rsidRDefault="00A97B0F" w:rsidP="00FC5376">
      <w:pPr>
        <w:pStyle w:val="FSBullet2"/>
        <w:rPr>
          <w:snapToGrid w:val="0"/>
        </w:rPr>
      </w:pPr>
      <w:r>
        <w:t>estimating</w:t>
      </w:r>
      <w:r w:rsidR="00696C24" w:rsidRPr="0024768B">
        <w:t xml:space="preserve"> the direct labelling costs of mandating the declaration of total dietary fibre content in the NIP.</w:t>
      </w:r>
    </w:p>
    <w:p w:rsidR="009469DC" w:rsidRDefault="009469DC">
      <w:pPr>
        <w:widowControl/>
      </w:pPr>
    </w:p>
    <w:p w:rsidR="00152781" w:rsidRDefault="00152781" w:rsidP="00152781">
      <w:r w:rsidRPr="0024768B">
        <w:t xml:space="preserve">The </w:t>
      </w:r>
      <w:r w:rsidRPr="00607774">
        <w:rPr>
          <w:b/>
        </w:rPr>
        <w:t>key findings</w:t>
      </w:r>
      <w:r w:rsidRPr="0024768B">
        <w:t xml:space="preserve"> are</w:t>
      </w:r>
      <w:r w:rsidR="00A97B0F">
        <w:t xml:space="preserve"> as follows.</w:t>
      </w:r>
    </w:p>
    <w:p w:rsidR="00607774" w:rsidRDefault="00607774" w:rsidP="00152781"/>
    <w:p w:rsidR="00C91434" w:rsidRPr="007A4FF0" w:rsidRDefault="00483A1E" w:rsidP="00C91434">
      <w:pPr>
        <w:rPr>
          <w:rFonts w:cs="Arial"/>
          <w:i/>
        </w:rPr>
      </w:pPr>
      <w:r w:rsidRPr="007A4FF0">
        <w:rPr>
          <w:rFonts w:cs="Arial"/>
          <w:i/>
        </w:rPr>
        <w:t xml:space="preserve">Distinguishing naturally occurring dietary fibre </w:t>
      </w:r>
    </w:p>
    <w:p w:rsidR="00AB63E3" w:rsidRPr="00F918C1" w:rsidRDefault="00AB63E3" w:rsidP="00AB63E3">
      <w:pPr>
        <w:pStyle w:val="ListParagraph"/>
        <w:numPr>
          <w:ilvl w:val="0"/>
          <w:numId w:val="19"/>
        </w:numPr>
        <w:spacing w:before="120"/>
        <w:ind w:left="567" w:hanging="567"/>
        <w:contextualSpacing w:val="0"/>
        <w:rPr>
          <w:rFonts w:cs="Arial"/>
          <w:lang w:val="en-GB"/>
        </w:rPr>
      </w:pPr>
      <w:r>
        <w:rPr>
          <w:rFonts w:cs="Arial"/>
        </w:rPr>
        <w:t xml:space="preserve">There is no simple means by which </w:t>
      </w:r>
      <w:r w:rsidRPr="005B436E">
        <w:rPr>
          <w:rStyle w:val="ms-rtefontsize-21"/>
          <w:rFonts w:cs="Arial"/>
          <w:sz w:val="22"/>
          <w:szCs w:val="22"/>
        </w:rPr>
        <w:t>naturally occurring</w:t>
      </w:r>
      <w:r>
        <w:rPr>
          <w:rFonts w:cs="Arial"/>
        </w:rPr>
        <w:t xml:space="preserve"> dietary fibre can be distinguished from total dietary fibre. Naturally occurring dietary fibre can often be found together with dietary fibres from refined sources in the same food (and can even consist of the same substance in the food). </w:t>
      </w:r>
    </w:p>
    <w:p w:rsidR="00A73FD0" w:rsidRPr="00F918C1" w:rsidRDefault="00A73FD0" w:rsidP="00A73FD0">
      <w:pPr>
        <w:pStyle w:val="ListParagraph"/>
        <w:numPr>
          <w:ilvl w:val="0"/>
          <w:numId w:val="19"/>
        </w:numPr>
        <w:spacing w:before="120"/>
        <w:ind w:left="567" w:hanging="567"/>
        <w:contextualSpacing w:val="0"/>
        <w:rPr>
          <w:rFonts w:cs="Arial"/>
          <w:lang w:val="en-GB"/>
        </w:rPr>
      </w:pPr>
      <w:r>
        <w:rPr>
          <w:lang w:val="en-GB"/>
        </w:rPr>
        <w:t>A</w:t>
      </w:r>
      <w:r w:rsidRPr="0024768B">
        <w:rPr>
          <w:lang w:val="en-GB"/>
        </w:rPr>
        <w:t xml:space="preserve">vailable information </w:t>
      </w:r>
      <w:r>
        <w:rPr>
          <w:lang w:val="en-GB"/>
        </w:rPr>
        <w:t xml:space="preserve">also </w:t>
      </w:r>
      <w:r w:rsidRPr="0024768B">
        <w:rPr>
          <w:lang w:val="en-GB"/>
        </w:rPr>
        <w:t xml:space="preserve">suggests that differences in physiological effects cannot be used as a way of distinguishing </w:t>
      </w:r>
      <w:r>
        <w:rPr>
          <w:lang w:val="en-GB"/>
        </w:rPr>
        <w:t xml:space="preserve">natural occurring and refined dietary fibres </w:t>
      </w:r>
      <w:r w:rsidRPr="0024768B">
        <w:rPr>
          <w:lang w:val="en-GB"/>
        </w:rPr>
        <w:t xml:space="preserve">as both have the potential to contribute to </w:t>
      </w:r>
      <w:r>
        <w:rPr>
          <w:lang w:val="en-GB"/>
        </w:rPr>
        <w:t xml:space="preserve">the some of the </w:t>
      </w:r>
      <w:r w:rsidRPr="0024768B">
        <w:rPr>
          <w:lang w:val="en-GB"/>
        </w:rPr>
        <w:t>recognised health outcomes for dietary fibre.</w:t>
      </w:r>
      <w:r w:rsidRPr="00F918C1">
        <w:rPr>
          <w:rFonts w:cs="Arial"/>
        </w:rPr>
        <w:t xml:space="preserve"> </w:t>
      </w:r>
    </w:p>
    <w:p w:rsidR="00DA37D5" w:rsidRDefault="00DA37D5" w:rsidP="00DA37D5">
      <w:pPr>
        <w:pStyle w:val="ListParagraph"/>
        <w:numPr>
          <w:ilvl w:val="0"/>
          <w:numId w:val="19"/>
        </w:numPr>
        <w:spacing w:before="120"/>
        <w:ind w:left="567" w:hanging="567"/>
        <w:contextualSpacing w:val="0"/>
        <w:rPr>
          <w:rFonts w:cs="Arial"/>
          <w:lang w:val="en-GB"/>
        </w:rPr>
      </w:pPr>
      <w:r w:rsidRPr="00F918C1">
        <w:rPr>
          <w:rFonts w:cs="Arial"/>
        </w:rPr>
        <w:t>T</w:t>
      </w:r>
      <w:r w:rsidRPr="00F918C1">
        <w:rPr>
          <w:rFonts w:cs="Arial"/>
          <w:lang w:val="en-GB"/>
        </w:rPr>
        <w:t xml:space="preserve">here is no readily available method of analysis that clearly distinguishes </w:t>
      </w:r>
      <w:r w:rsidR="00FC2832">
        <w:rPr>
          <w:rFonts w:cs="Arial"/>
          <w:lang w:val="en-GB"/>
        </w:rPr>
        <w:t xml:space="preserve">naturally occurring </w:t>
      </w:r>
      <w:r>
        <w:rPr>
          <w:rFonts w:cs="Arial"/>
          <w:lang w:val="en-GB"/>
        </w:rPr>
        <w:t xml:space="preserve">dietary </w:t>
      </w:r>
      <w:r w:rsidRPr="00F918C1">
        <w:rPr>
          <w:rFonts w:cs="Arial"/>
          <w:lang w:val="en-GB"/>
        </w:rPr>
        <w:t xml:space="preserve">fibre from total dietary fibre </w:t>
      </w:r>
      <w:r w:rsidR="00C5289F">
        <w:rPr>
          <w:rFonts w:cs="Arial"/>
          <w:lang w:val="en-GB"/>
        </w:rPr>
        <w:t>where both natural and refined fibres are present</w:t>
      </w:r>
      <w:r w:rsidRPr="00F918C1">
        <w:rPr>
          <w:rFonts w:cs="Arial"/>
          <w:lang w:val="en-GB"/>
        </w:rPr>
        <w:t>. The use of non-analytical alternative approaches, such as calculating the</w:t>
      </w:r>
      <w:r>
        <w:rPr>
          <w:rFonts w:cs="Arial"/>
          <w:lang w:val="en-GB"/>
        </w:rPr>
        <w:t xml:space="preserve"> </w:t>
      </w:r>
      <w:r w:rsidR="00531137">
        <w:rPr>
          <w:rFonts w:cs="Arial"/>
          <w:lang w:val="en-GB"/>
        </w:rPr>
        <w:t xml:space="preserve">naturally occurring </w:t>
      </w:r>
      <w:r>
        <w:rPr>
          <w:rFonts w:cs="Arial"/>
          <w:lang w:val="en-GB"/>
        </w:rPr>
        <w:t>dietary fibre</w:t>
      </w:r>
      <w:r w:rsidRPr="00F918C1">
        <w:rPr>
          <w:rFonts w:cs="Arial"/>
          <w:lang w:val="en-GB"/>
        </w:rPr>
        <w:t xml:space="preserve"> </w:t>
      </w:r>
      <w:r w:rsidR="00531137">
        <w:rPr>
          <w:rFonts w:cs="Arial"/>
          <w:lang w:val="en-GB"/>
        </w:rPr>
        <w:t xml:space="preserve">of </w:t>
      </w:r>
      <w:r w:rsidRPr="00F918C1">
        <w:rPr>
          <w:rFonts w:cs="Arial"/>
          <w:lang w:val="en-GB"/>
        </w:rPr>
        <w:t>ingredients from food composition data, is currently not possible</w:t>
      </w:r>
      <w:r>
        <w:rPr>
          <w:rFonts w:cs="Arial"/>
          <w:lang w:val="en-GB"/>
        </w:rPr>
        <w:t>,</w:t>
      </w:r>
      <w:r w:rsidRPr="00F918C1">
        <w:rPr>
          <w:rFonts w:cs="Arial"/>
          <w:lang w:val="en-GB"/>
        </w:rPr>
        <w:t xml:space="preserve"> as national food composition tables and nutrition labelling tools for Australia and New Zealand do not contain the information required for these purposes. </w:t>
      </w:r>
    </w:p>
    <w:p w:rsidR="00497878" w:rsidRPr="00F918C1" w:rsidRDefault="00497878" w:rsidP="00497878">
      <w:pPr>
        <w:pStyle w:val="ListParagraph"/>
        <w:numPr>
          <w:ilvl w:val="0"/>
          <w:numId w:val="19"/>
        </w:numPr>
        <w:spacing w:before="120"/>
        <w:ind w:left="567" w:hanging="567"/>
        <w:contextualSpacing w:val="0"/>
        <w:rPr>
          <w:rFonts w:cs="Arial"/>
          <w:lang w:val="en-GB"/>
        </w:rPr>
      </w:pPr>
      <w:r w:rsidRPr="00F918C1">
        <w:rPr>
          <w:rFonts w:cs="Arial"/>
          <w:lang w:val="en-GB"/>
        </w:rPr>
        <w:t>Therefore, FSANZ considers that to separately declare natural</w:t>
      </w:r>
      <w:r w:rsidR="00BA39D4">
        <w:rPr>
          <w:rFonts w:cs="Arial"/>
          <w:lang w:val="en-GB"/>
        </w:rPr>
        <w:t>ly occurring dietary</w:t>
      </w:r>
      <w:r w:rsidRPr="00F918C1">
        <w:rPr>
          <w:rFonts w:cs="Arial"/>
          <w:lang w:val="en-GB"/>
        </w:rPr>
        <w:t xml:space="preserve"> fibre</w:t>
      </w:r>
      <w:r w:rsidR="00531137">
        <w:rPr>
          <w:rFonts w:cs="Arial"/>
          <w:lang w:val="en-GB"/>
        </w:rPr>
        <w:t xml:space="preserve"> from total dietary fibre</w:t>
      </w:r>
      <w:r w:rsidRPr="00F918C1">
        <w:rPr>
          <w:rFonts w:cs="Arial"/>
          <w:lang w:val="en-GB"/>
        </w:rPr>
        <w:t xml:space="preserve"> in the NIP to be </w:t>
      </w:r>
      <w:r>
        <w:rPr>
          <w:rFonts w:cs="Arial"/>
          <w:lang w:val="en-GB"/>
        </w:rPr>
        <w:t xml:space="preserve">difficult </w:t>
      </w:r>
      <w:r>
        <w:t xml:space="preserve">and impractical to implement. </w:t>
      </w:r>
    </w:p>
    <w:p w:rsidR="00C91434" w:rsidRPr="0024768B" w:rsidRDefault="00C91434" w:rsidP="00C91434">
      <w:pPr>
        <w:pStyle w:val="ListParagraph"/>
        <w:ind w:left="567" w:hanging="567"/>
        <w:rPr>
          <w:rFonts w:cs="Arial"/>
          <w:lang w:val="en-GB"/>
        </w:rPr>
      </w:pPr>
    </w:p>
    <w:p w:rsidR="00C91434" w:rsidRPr="007A4FF0" w:rsidRDefault="00483A1E" w:rsidP="00C91434">
      <w:pPr>
        <w:rPr>
          <w:rFonts w:cs="Arial"/>
          <w:i/>
        </w:rPr>
      </w:pPr>
      <w:r w:rsidRPr="007A4FF0">
        <w:rPr>
          <w:rFonts w:cs="Arial"/>
          <w:i/>
        </w:rPr>
        <w:t>Declaration of total dietary fibre</w:t>
      </w:r>
    </w:p>
    <w:p w:rsidR="00C91434" w:rsidRPr="0024768B" w:rsidRDefault="00C91434" w:rsidP="00C91434">
      <w:pPr>
        <w:pStyle w:val="FSBullet1"/>
        <w:spacing w:before="120"/>
      </w:pPr>
      <w:r w:rsidRPr="0024768B">
        <w:t xml:space="preserve">The </w:t>
      </w:r>
      <w:r>
        <w:t xml:space="preserve">current </w:t>
      </w:r>
      <w:r w:rsidRPr="0024768B">
        <w:t xml:space="preserve">regulatory approach to the declaration of </w:t>
      </w:r>
      <w:r>
        <w:t xml:space="preserve">total </w:t>
      </w:r>
      <w:r w:rsidRPr="0024768B">
        <w:t xml:space="preserve">dietary fibre content in Australia and New Zealand is consistent with Codex Alimentarius guidelines and </w:t>
      </w:r>
      <w:r w:rsidR="00531137">
        <w:t>European Union</w:t>
      </w:r>
      <w:r w:rsidRPr="0024768B">
        <w:t xml:space="preserve"> regulations. </w:t>
      </w:r>
      <w:r w:rsidR="00EF2EBD">
        <w:t xml:space="preserve">Other than </w:t>
      </w:r>
      <w:r w:rsidRPr="0024768B">
        <w:t>the U</w:t>
      </w:r>
      <w:r w:rsidR="00531137">
        <w:t xml:space="preserve">nited </w:t>
      </w:r>
      <w:r w:rsidRPr="0024768B">
        <w:t>S</w:t>
      </w:r>
      <w:r w:rsidR="00531137">
        <w:t xml:space="preserve">tates of </w:t>
      </w:r>
      <w:r w:rsidRPr="0024768B">
        <w:t>A</w:t>
      </w:r>
      <w:r w:rsidR="00531137">
        <w:t>merica</w:t>
      </w:r>
      <w:r w:rsidRPr="0024768B">
        <w:t xml:space="preserve"> and Canada, FSANZ </w:t>
      </w:r>
      <w:r w:rsidR="00181E36">
        <w:t xml:space="preserve">is </w:t>
      </w:r>
      <w:r w:rsidRPr="0024768B">
        <w:t xml:space="preserve">not aware of any other overseas regulations that mandate the declaration of </w:t>
      </w:r>
      <w:r>
        <w:t xml:space="preserve">total </w:t>
      </w:r>
      <w:r w:rsidRPr="0024768B">
        <w:t>dietary fibre content on</w:t>
      </w:r>
      <w:r>
        <w:t xml:space="preserve"> all</w:t>
      </w:r>
      <w:r w:rsidRPr="0024768B">
        <w:t xml:space="preserve"> food labels. </w:t>
      </w:r>
    </w:p>
    <w:p w:rsidR="00C91434" w:rsidRDefault="00531137" w:rsidP="00C91434">
      <w:pPr>
        <w:pStyle w:val="FSBullet1"/>
        <w:spacing w:before="120"/>
      </w:pPr>
      <w:r>
        <w:t>Preliminary consideration</w:t>
      </w:r>
      <w:r w:rsidR="00C91434">
        <w:t xml:space="preserve"> </w:t>
      </w:r>
      <w:r>
        <w:t xml:space="preserve">has </w:t>
      </w:r>
      <w:r w:rsidR="00C91434">
        <w:t xml:space="preserve">shown that </w:t>
      </w:r>
      <w:r>
        <w:t xml:space="preserve">some </w:t>
      </w:r>
      <w:r w:rsidR="00C91434">
        <w:t xml:space="preserve">consumers will value increased access to total dietary fibre information, but also that there could potentially be costs to industry. Due to </w:t>
      </w:r>
      <w:r w:rsidR="00A81AFC">
        <w:t xml:space="preserve">data </w:t>
      </w:r>
      <w:r w:rsidR="00C91434">
        <w:t>limitations, a more definitive analysis cannot be made, especially on the magnitude of the costs to industry. However</w:t>
      </w:r>
      <w:r w:rsidR="00A97285">
        <w:t>,</w:t>
      </w:r>
      <w:r w:rsidR="00C91434">
        <w:t xml:space="preserve"> </w:t>
      </w:r>
      <w:r w:rsidR="00A81AFC">
        <w:t>FSANZ has</w:t>
      </w:r>
      <w:r w:rsidR="00C91434">
        <w:t xml:space="preserve"> identified the following:</w:t>
      </w:r>
    </w:p>
    <w:p w:rsidR="00C91434" w:rsidRDefault="00C91434" w:rsidP="00FC5376">
      <w:pPr>
        <w:pStyle w:val="FSBullet2"/>
        <w:spacing w:before="120"/>
      </w:pPr>
      <w:r w:rsidRPr="0024768B">
        <w:t xml:space="preserve">The </w:t>
      </w:r>
      <w:r w:rsidR="00531137">
        <w:t>rapid evidence assessment</w:t>
      </w:r>
      <w:r w:rsidR="00497878" w:rsidRPr="0024768B">
        <w:t xml:space="preserve"> </w:t>
      </w:r>
      <w:r w:rsidRPr="0024768B">
        <w:t xml:space="preserve">of consumer knowledge, attitudes and behaviour suggests that there is value to some consumers in the display of dietary fibre information in the NIP and that this information may influence dietary fibre intakes. </w:t>
      </w:r>
    </w:p>
    <w:p w:rsidR="00C91434" w:rsidRPr="0024768B" w:rsidRDefault="00C91434" w:rsidP="00FC5376">
      <w:pPr>
        <w:pStyle w:val="FSBullet2"/>
        <w:spacing w:before="120"/>
      </w:pPr>
      <w:r>
        <w:t xml:space="preserve">There is limited evidence on how consumers respond to dietary fibre </w:t>
      </w:r>
      <w:r w:rsidR="00A73FD0">
        <w:t>declarations;</w:t>
      </w:r>
      <w:r>
        <w:t xml:space="preserve"> h</w:t>
      </w:r>
      <w:r w:rsidRPr="0024768B">
        <w:t>owever</w:t>
      </w:r>
      <w:r w:rsidR="00A73FD0">
        <w:t>,</w:t>
      </w:r>
      <w:r w:rsidRPr="0024768B">
        <w:t xml:space="preserve"> the literature</w:t>
      </w:r>
      <w:r>
        <w:t xml:space="preserve"> that is available</w:t>
      </w:r>
      <w:r w:rsidRPr="0024768B">
        <w:t xml:space="preserve"> suggests consumers</w:t>
      </w:r>
      <w:r>
        <w:t xml:space="preserve"> are more likely to</w:t>
      </w:r>
      <w:r w:rsidRPr="0024768B">
        <w:t xml:space="preserve"> use this information when selecting products perceived to be high</w:t>
      </w:r>
      <w:r>
        <w:t>er</w:t>
      </w:r>
      <w:r w:rsidRPr="0024768B">
        <w:t xml:space="preserve"> in </w:t>
      </w:r>
      <w:r w:rsidR="00040612">
        <w:t xml:space="preserve">dietary </w:t>
      </w:r>
      <w:r w:rsidRPr="0024768B">
        <w:t>fibre</w:t>
      </w:r>
      <w:r>
        <w:t xml:space="preserve"> and less likely when selecting products that are viewed as lower in dietary fibre</w:t>
      </w:r>
      <w:r w:rsidRPr="0024768B">
        <w:t>.</w:t>
      </w:r>
      <w:r>
        <w:t xml:space="preserve"> Also, consumers have limited k</w:t>
      </w:r>
      <w:r w:rsidRPr="0024768B">
        <w:t xml:space="preserve">nowledge of what </w:t>
      </w:r>
      <w:r>
        <w:t>i</w:t>
      </w:r>
      <w:r w:rsidRPr="0024768B">
        <w:t xml:space="preserve">s a </w:t>
      </w:r>
      <w:r w:rsidR="008F6959">
        <w:t xml:space="preserve">nutritionally </w:t>
      </w:r>
      <w:r w:rsidRPr="0024768B">
        <w:t>high or low level of dietary fibre.</w:t>
      </w:r>
    </w:p>
    <w:p w:rsidR="001C6BF7" w:rsidRDefault="001C6BF7">
      <w:pPr>
        <w:widowControl/>
        <w:rPr>
          <w:rFonts w:eastAsia="Calibri"/>
          <w:szCs w:val="22"/>
          <w:lang w:bidi="ar-SA"/>
        </w:rPr>
      </w:pPr>
      <w:r>
        <w:br w:type="page"/>
      </w:r>
    </w:p>
    <w:p w:rsidR="00C91434" w:rsidRPr="004B34E4" w:rsidRDefault="00C91434" w:rsidP="00FC5376">
      <w:pPr>
        <w:pStyle w:val="FSBullet2"/>
        <w:spacing w:before="120"/>
      </w:pPr>
      <w:r w:rsidRPr="00B14B95">
        <w:lastRenderedPageBreak/>
        <w:t xml:space="preserve">It is likely that inclusion of a declaration of total dietary fibre in the NIP would be a minor labelling change (for those foods that are not </w:t>
      </w:r>
      <w:r w:rsidR="00497878" w:rsidRPr="00B14B95">
        <w:t xml:space="preserve">already </w:t>
      </w:r>
      <w:r w:rsidRPr="00B14B95">
        <w:t xml:space="preserve">declaring this information) with an estimated direct labelling cost of </w:t>
      </w:r>
      <w:r w:rsidR="00787DC1" w:rsidRPr="00B14B95">
        <w:t xml:space="preserve">around </w:t>
      </w:r>
      <w:r w:rsidRPr="00B14B95">
        <w:t>A</w:t>
      </w:r>
      <w:r w:rsidR="00865119" w:rsidRPr="00B14B95">
        <w:t>U</w:t>
      </w:r>
      <w:r w:rsidRPr="00B14B95">
        <w:t>$4</w:t>
      </w:r>
      <w:r w:rsidR="00787DC1" w:rsidRPr="00B14B95">
        <w:t>,000</w:t>
      </w:r>
      <w:r w:rsidRPr="00B14B95">
        <w:t xml:space="preserve"> per single SKU</w:t>
      </w:r>
      <w:r w:rsidR="001D11E5">
        <w:rPr>
          <w:rStyle w:val="FootnoteReference"/>
        </w:rPr>
        <w:footnoteReference w:id="1"/>
      </w:r>
      <w:r w:rsidR="008A472D">
        <w:t>. This cost</w:t>
      </w:r>
      <w:r w:rsidR="000B7C5D" w:rsidRPr="004B34E4">
        <w:rPr>
          <w:rFonts w:cs="Arial"/>
        </w:rPr>
        <w:t xml:space="preserve"> does not take into consideration indirect costs (e.g. write-off of stock in hand, reformulation, product testing, marketing costs or administrative costs).</w:t>
      </w:r>
    </w:p>
    <w:p w:rsidR="002A73AF" w:rsidRDefault="002A73AF" w:rsidP="002A73AF">
      <w:pPr>
        <w:pStyle w:val="FSBullet2"/>
        <w:rPr>
          <w:rFonts w:ascii="Times New Roman" w:hAnsi="Times New Roman"/>
          <w:sz w:val="24"/>
          <w:lang w:eastAsia="en-GB"/>
        </w:rPr>
      </w:pPr>
      <w:r>
        <w:t xml:space="preserve">Available information suggests there are around 28,000 packaged food SKUs on supermarket shelves. </w:t>
      </w:r>
      <w:r w:rsidR="0046514E">
        <w:t>While</w:t>
      </w:r>
      <w:r w:rsidR="006E2991">
        <w:t xml:space="preserve"> noting that the </w:t>
      </w:r>
      <w:r w:rsidR="00AA1167">
        <w:t xml:space="preserve">actual </w:t>
      </w:r>
      <w:r w:rsidR="006E2991">
        <w:t>number of SKUs affected will be less because some SKUs already declare total dietary fibre in the NIP voluntarily or are exempt from requiring a NIP, the SKU figure does provide a</w:t>
      </w:r>
      <w:r w:rsidR="006E2991" w:rsidRPr="0024768B">
        <w:t xml:space="preserve"> </w:t>
      </w:r>
      <w:r w:rsidR="006E2991">
        <w:t xml:space="preserve">general </w:t>
      </w:r>
      <w:r w:rsidR="006E2991" w:rsidRPr="0024768B">
        <w:t xml:space="preserve">indication </w:t>
      </w:r>
      <w:r w:rsidR="006E2991">
        <w:t xml:space="preserve">of the magnitude of the </w:t>
      </w:r>
      <w:r w:rsidR="006E2991" w:rsidRPr="0024768B">
        <w:t>cost</w:t>
      </w:r>
      <w:r w:rsidR="006E2991">
        <w:t>s</w:t>
      </w:r>
      <w:r w:rsidR="006E2991" w:rsidRPr="0024768B">
        <w:t xml:space="preserve"> that might be </w:t>
      </w:r>
      <w:r w:rsidR="006E2991">
        <w:t xml:space="preserve">incurred if the declaration of total dietary fibre was a mandatory requirement in the NIP. </w:t>
      </w:r>
      <w:r>
        <w:t>Further work would be required, including a robust cost benefit analysis, to fully consider the costs and expected benefits of mandating the declaration of total dietary fibre in the NIP.</w:t>
      </w:r>
      <w:r>
        <w:rPr>
          <w:rFonts w:ascii="Times New Roman" w:hAnsi="Times New Roman"/>
          <w:sz w:val="24"/>
          <w:lang w:eastAsia="en-GB"/>
        </w:rPr>
        <w:t xml:space="preserve"> </w:t>
      </w:r>
    </w:p>
    <w:p w:rsidR="00D66D81" w:rsidRDefault="00D66D81" w:rsidP="00B16D68">
      <w:pPr>
        <w:pStyle w:val="FSBullet2"/>
        <w:numPr>
          <w:ilvl w:val="0"/>
          <w:numId w:val="0"/>
        </w:numPr>
        <w:spacing w:before="120"/>
        <w:ind w:left="1134"/>
      </w:pPr>
    </w:p>
    <w:p w:rsidR="008D7230" w:rsidRDefault="008D7230" w:rsidP="00FC5376">
      <w:pPr>
        <w:pStyle w:val="FSBullet2"/>
        <w:numPr>
          <w:ilvl w:val="0"/>
          <w:numId w:val="0"/>
        </w:numPr>
        <w:ind w:left="1134"/>
      </w:pPr>
    </w:p>
    <w:p w:rsidR="00607774" w:rsidRPr="00A81AFC" w:rsidRDefault="00607774" w:rsidP="00FC5376">
      <w:pPr>
        <w:pStyle w:val="FSBullet2"/>
        <w:numPr>
          <w:ilvl w:val="0"/>
          <w:numId w:val="0"/>
        </w:numPr>
        <w:ind w:left="1134"/>
      </w:pPr>
    </w:p>
    <w:p w:rsidR="00097E4A" w:rsidRDefault="00097E4A" w:rsidP="00EC66BB">
      <w:pPr>
        <w:jc w:val="center"/>
        <w:rPr>
          <w:color w:val="17365D" w:themeColor="text2" w:themeShade="BF"/>
          <w:sz w:val="28"/>
          <w:szCs w:val="28"/>
        </w:rPr>
        <w:sectPr w:rsidR="00097E4A" w:rsidSect="00097E4A">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24768B" w:rsidRDefault="00D15A08" w:rsidP="00EC66BB">
      <w:pPr>
        <w:jc w:val="center"/>
        <w:rPr>
          <w:color w:val="17365D" w:themeColor="text2" w:themeShade="BF"/>
          <w:sz w:val="28"/>
          <w:szCs w:val="28"/>
        </w:rPr>
      </w:pPr>
      <w:r w:rsidRPr="0024768B">
        <w:rPr>
          <w:color w:val="17365D" w:themeColor="text2" w:themeShade="BF"/>
          <w:sz w:val="28"/>
          <w:szCs w:val="28"/>
        </w:rPr>
        <w:lastRenderedPageBreak/>
        <w:t xml:space="preserve">Table of </w:t>
      </w:r>
      <w:r w:rsidR="00456B54" w:rsidRPr="0024768B">
        <w:rPr>
          <w:color w:val="17365D" w:themeColor="text2" w:themeShade="BF"/>
          <w:sz w:val="28"/>
          <w:szCs w:val="28"/>
        </w:rPr>
        <w:t>C</w:t>
      </w:r>
      <w:r w:rsidRPr="0024768B">
        <w:rPr>
          <w:color w:val="17365D" w:themeColor="text2" w:themeShade="BF"/>
          <w:sz w:val="28"/>
          <w:szCs w:val="28"/>
        </w:rPr>
        <w:t>ontents</w:t>
      </w:r>
    </w:p>
    <w:p w:rsidR="00F17A38" w:rsidRPr="00F17A38" w:rsidRDefault="00B46426">
      <w:pPr>
        <w:pStyle w:val="TOC1"/>
        <w:rPr>
          <w:rFonts w:eastAsiaTheme="minorEastAsia"/>
          <w:b w:val="0"/>
          <w:bCs w:val="0"/>
          <w:caps w:val="0"/>
          <w:lang w:eastAsia="en-GB" w:bidi="ar-SA"/>
        </w:rPr>
      </w:pPr>
      <w:r w:rsidRPr="00F17A38">
        <w:fldChar w:fldCharType="begin"/>
      </w:r>
      <w:r w:rsidRPr="00F17A38">
        <w:instrText xml:space="preserve"> TOC \o "1-2" \h \z \u </w:instrText>
      </w:r>
      <w:r w:rsidRPr="00F17A38">
        <w:fldChar w:fldCharType="separate"/>
      </w:r>
      <w:hyperlink w:anchor="_Toc379448901" w:history="1">
        <w:r w:rsidR="00F17A38" w:rsidRPr="00F17A38">
          <w:rPr>
            <w:rStyle w:val="Hyperlink"/>
          </w:rPr>
          <w:t>Executive summary</w:t>
        </w:r>
        <w:r w:rsidR="00F17A38" w:rsidRPr="00F17A38">
          <w:rPr>
            <w:webHidden/>
          </w:rPr>
          <w:tab/>
        </w:r>
        <w:r w:rsidR="00F17A38" w:rsidRPr="00F17A38">
          <w:rPr>
            <w:webHidden/>
          </w:rPr>
          <w:fldChar w:fldCharType="begin"/>
        </w:r>
        <w:r w:rsidR="00F17A38" w:rsidRPr="00F17A38">
          <w:rPr>
            <w:webHidden/>
          </w:rPr>
          <w:instrText xml:space="preserve"> PAGEREF _Toc379448901 \h </w:instrText>
        </w:r>
        <w:r w:rsidR="00F17A38" w:rsidRPr="00F17A38">
          <w:rPr>
            <w:webHidden/>
          </w:rPr>
        </w:r>
        <w:r w:rsidR="00F17A38" w:rsidRPr="00F17A38">
          <w:rPr>
            <w:webHidden/>
          </w:rPr>
          <w:fldChar w:fldCharType="separate"/>
        </w:r>
        <w:r w:rsidR="003423C4">
          <w:rPr>
            <w:webHidden/>
          </w:rPr>
          <w:t>i</w:t>
        </w:r>
        <w:r w:rsidR="00F17A38" w:rsidRPr="00F17A38">
          <w:rPr>
            <w:webHidden/>
          </w:rPr>
          <w:fldChar w:fldCharType="end"/>
        </w:r>
      </w:hyperlink>
    </w:p>
    <w:p w:rsidR="00F17A38" w:rsidRPr="00F17A38" w:rsidRDefault="00297F7B">
      <w:pPr>
        <w:pStyle w:val="TOC1"/>
        <w:rPr>
          <w:rFonts w:eastAsiaTheme="minorEastAsia"/>
          <w:b w:val="0"/>
          <w:bCs w:val="0"/>
          <w:caps w:val="0"/>
          <w:lang w:eastAsia="en-GB" w:bidi="ar-SA"/>
        </w:rPr>
      </w:pPr>
      <w:hyperlink w:anchor="_Toc379448902" w:history="1">
        <w:r w:rsidR="00F17A38" w:rsidRPr="00F17A38">
          <w:rPr>
            <w:rStyle w:val="Hyperlink"/>
          </w:rPr>
          <w:t>1.</w:t>
        </w:r>
        <w:r w:rsidR="00F17A38" w:rsidRPr="00F17A38">
          <w:rPr>
            <w:rFonts w:eastAsiaTheme="minorEastAsia"/>
            <w:b w:val="0"/>
            <w:bCs w:val="0"/>
            <w:caps w:val="0"/>
            <w:lang w:eastAsia="en-GB" w:bidi="ar-SA"/>
          </w:rPr>
          <w:tab/>
        </w:r>
        <w:r w:rsidR="00F17A38" w:rsidRPr="00F17A38">
          <w:rPr>
            <w:rStyle w:val="Hyperlink"/>
          </w:rPr>
          <w:t>Introduction</w:t>
        </w:r>
        <w:r w:rsidR="00F17A38" w:rsidRPr="00F17A38">
          <w:rPr>
            <w:webHidden/>
          </w:rPr>
          <w:tab/>
        </w:r>
        <w:r w:rsidR="00F17A38" w:rsidRPr="00F17A38">
          <w:rPr>
            <w:webHidden/>
          </w:rPr>
          <w:fldChar w:fldCharType="begin"/>
        </w:r>
        <w:r w:rsidR="00F17A38" w:rsidRPr="00F17A38">
          <w:rPr>
            <w:webHidden/>
          </w:rPr>
          <w:instrText xml:space="preserve"> PAGEREF _Toc379448902 \h </w:instrText>
        </w:r>
        <w:r w:rsidR="00F17A38" w:rsidRPr="00F17A38">
          <w:rPr>
            <w:webHidden/>
          </w:rPr>
        </w:r>
        <w:r w:rsidR="00F17A38" w:rsidRPr="00F17A38">
          <w:rPr>
            <w:webHidden/>
          </w:rPr>
          <w:fldChar w:fldCharType="separate"/>
        </w:r>
        <w:r w:rsidR="003423C4">
          <w:rPr>
            <w:webHidden/>
          </w:rPr>
          <w:t>2</w:t>
        </w:r>
        <w:r w:rsidR="00F17A38" w:rsidRPr="00F17A38">
          <w:rPr>
            <w:webHidden/>
          </w:rPr>
          <w:fldChar w:fldCharType="end"/>
        </w:r>
      </w:hyperlink>
    </w:p>
    <w:p w:rsidR="00F17A38" w:rsidRPr="00F17A38" w:rsidRDefault="00297F7B">
      <w:pPr>
        <w:pStyle w:val="TOC2"/>
        <w:rPr>
          <w:rFonts w:ascii="Arial" w:eastAsiaTheme="minorEastAsia" w:hAnsi="Arial" w:cs="Arial"/>
          <w:smallCaps w:val="0"/>
          <w:noProof/>
          <w:sz w:val="22"/>
          <w:szCs w:val="22"/>
          <w:lang w:eastAsia="en-GB" w:bidi="ar-SA"/>
        </w:rPr>
      </w:pPr>
      <w:hyperlink w:anchor="_Toc379448903" w:history="1">
        <w:r w:rsidR="00F17A38" w:rsidRPr="00F17A38">
          <w:rPr>
            <w:rStyle w:val="Hyperlink"/>
            <w:rFonts w:ascii="Arial" w:hAnsi="Arial" w:cs="Arial"/>
            <w:noProof/>
          </w:rPr>
          <w:t>1.1</w:t>
        </w:r>
        <w:r w:rsidR="00F17A38" w:rsidRPr="00F17A38">
          <w:rPr>
            <w:rFonts w:ascii="Arial" w:eastAsiaTheme="minorEastAsia" w:hAnsi="Arial" w:cs="Arial"/>
            <w:smallCaps w:val="0"/>
            <w:noProof/>
            <w:sz w:val="22"/>
            <w:szCs w:val="22"/>
            <w:lang w:eastAsia="en-GB" w:bidi="ar-SA"/>
          </w:rPr>
          <w:tab/>
        </w:r>
        <w:r w:rsidR="00F17A38" w:rsidRPr="00F17A38">
          <w:rPr>
            <w:rStyle w:val="Hyperlink"/>
            <w:rFonts w:ascii="Arial" w:hAnsi="Arial" w:cs="Arial"/>
            <w:noProof/>
          </w:rPr>
          <w:t>Background to Recommendation 14</w:t>
        </w:r>
        <w:r w:rsidR="00F17A38" w:rsidRPr="00F17A38">
          <w:rPr>
            <w:rFonts w:ascii="Arial" w:hAnsi="Arial" w:cs="Arial"/>
            <w:noProof/>
            <w:webHidden/>
          </w:rPr>
          <w:tab/>
        </w:r>
        <w:r w:rsidR="00F17A38" w:rsidRPr="00F17A38">
          <w:rPr>
            <w:rFonts w:ascii="Arial" w:hAnsi="Arial" w:cs="Arial"/>
            <w:noProof/>
            <w:webHidden/>
          </w:rPr>
          <w:fldChar w:fldCharType="begin"/>
        </w:r>
        <w:r w:rsidR="00F17A38" w:rsidRPr="00F17A38">
          <w:rPr>
            <w:rFonts w:ascii="Arial" w:hAnsi="Arial" w:cs="Arial"/>
            <w:noProof/>
            <w:webHidden/>
          </w:rPr>
          <w:instrText xml:space="preserve"> PAGEREF _Toc379448903 \h </w:instrText>
        </w:r>
        <w:r w:rsidR="00F17A38" w:rsidRPr="00F17A38">
          <w:rPr>
            <w:rFonts w:ascii="Arial" w:hAnsi="Arial" w:cs="Arial"/>
            <w:noProof/>
            <w:webHidden/>
          </w:rPr>
        </w:r>
        <w:r w:rsidR="00F17A38" w:rsidRPr="00F17A38">
          <w:rPr>
            <w:rFonts w:ascii="Arial" w:hAnsi="Arial" w:cs="Arial"/>
            <w:noProof/>
            <w:webHidden/>
          </w:rPr>
          <w:fldChar w:fldCharType="separate"/>
        </w:r>
        <w:r w:rsidR="003423C4">
          <w:rPr>
            <w:rFonts w:ascii="Arial" w:hAnsi="Arial" w:cs="Arial"/>
            <w:noProof/>
            <w:webHidden/>
          </w:rPr>
          <w:t>2</w:t>
        </w:r>
        <w:r w:rsidR="00F17A38" w:rsidRPr="00F17A38">
          <w:rPr>
            <w:rFonts w:ascii="Arial" w:hAnsi="Arial" w:cs="Arial"/>
            <w:noProof/>
            <w:webHidden/>
          </w:rPr>
          <w:fldChar w:fldCharType="end"/>
        </w:r>
      </w:hyperlink>
    </w:p>
    <w:p w:rsidR="00F17A38" w:rsidRPr="00F17A38" w:rsidRDefault="00297F7B">
      <w:pPr>
        <w:pStyle w:val="TOC2"/>
        <w:rPr>
          <w:rFonts w:ascii="Arial" w:eastAsiaTheme="minorEastAsia" w:hAnsi="Arial" w:cs="Arial"/>
          <w:smallCaps w:val="0"/>
          <w:noProof/>
          <w:sz w:val="22"/>
          <w:szCs w:val="22"/>
          <w:lang w:eastAsia="en-GB" w:bidi="ar-SA"/>
        </w:rPr>
      </w:pPr>
      <w:hyperlink w:anchor="_Toc379448904" w:history="1">
        <w:r w:rsidR="00F17A38" w:rsidRPr="00F17A38">
          <w:rPr>
            <w:rStyle w:val="Hyperlink"/>
            <w:rFonts w:ascii="Arial" w:hAnsi="Arial" w:cs="Arial"/>
            <w:noProof/>
          </w:rPr>
          <w:t>1.2</w:t>
        </w:r>
        <w:r w:rsidR="00F17A38" w:rsidRPr="00F17A38">
          <w:rPr>
            <w:rFonts w:ascii="Arial" w:eastAsiaTheme="minorEastAsia" w:hAnsi="Arial" w:cs="Arial"/>
            <w:smallCaps w:val="0"/>
            <w:noProof/>
            <w:sz w:val="22"/>
            <w:szCs w:val="22"/>
            <w:lang w:eastAsia="en-GB" w:bidi="ar-SA"/>
          </w:rPr>
          <w:tab/>
        </w:r>
        <w:r w:rsidR="00F17A38" w:rsidRPr="00F17A38">
          <w:rPr>
            <w:rStyle w:val="Hyperlink"/>
            <w:rFonts w:ascii="Arial" w:hAnsi="Arial" w:cs="Arial"/>
            <w:noProof/>
          </w:rPr>
          <w:t>Government Response to Recommendation 14</w:t>
        </w:r>
        <w:r w:rsidR="00F17A38" w:rsidRPr="00F17A38">
          <w:rPr>
            <w:rFonts w:ascii="Arial" w:hAnsi="Arial" w:cs="Arial"/>
            <w:noProof/>
            <w:webHidden/>
          </w:rPr>
          <w:tab/>
        </w:r>
        <w:r w:rsidR="00F17A38" w:rsidRPr="00F17A38">
          <w:rPr>
            <w:rFonts w:ascii="Arial" w:hAnsi="Arial" w:cs="Arial"/>
            <w:noProof/>
            <w:webHidden/>
          </w:rPr>
          <w:fldChar w:fldCharType="begin"/>
        </w:r>
        <w:r w:rsidR="00F17A38" w:rsidRPr="00F17A38">
          <w:rPr>
            <w:rFonts w:ascii="Arial" w:hAnsi="Arial" w:cs="Arial"/>
            <w:noProof/>
            <w:webHidden/>
          </w:rPr>
          <w:instrText xml:space="preserve"> PAGEREF _Toc379448904 \h </w:instrText>
        </w:r>
        <w:r w:rsidR="00F17A38" w:rsidRPr="00F17A38">
          <w:rPr>
            <w:rFonts w:ascii="Arial" w:hAnsi="Arial" w:cs="Arial"/>
            <w:noProof/>
            <w:webHidden/>
          </w:rPr>
        </w:r>
        <w:r w:rsidR="00F17A38" w:rsidRPr="00F17A38">
          <w:rPr>
            <w:rFonts w:ascii="Arial" w:hAnsi="Arial" w:cs="Arial"/>
            <w:noProof/>
            <w:webHidden/>
          </w:rPr>
          <w:fldChar w:fldCharType="separate"/>
        </w:r>
        <w:r w:rsidR="003423C4">
          <w:rPr>
            <w:rFonts w:ascii="Arial" w:hAnsi="Arial" w:cs="Arial"/>
            <w:noProof/>
            <w:webHidden/>
          </w:rPr>
          <w:t>2</w:t>
        </w:r>
        <w:r w:rsidR="00F17A38" w:rsidRPr="00F17A38">
          <w:rPr>
            <w:rFonts w:ascii="Arial" w:hAnsi="Arial" w:cs="Arial"/>
            <w:noProof/>
            <w:webHidden/>
          </w:rPr>
          <w:fldChar w:fldCharType="end"/>
        </w:r>
      </w:hyperlink>
    </w:p>
    <w:p w:rsidR="00F17A38" w:rsidRPr="00F17A38" w:rsidRDefault="00297F7B">
      <w:pPr>
        <w:pStyle w:val="TOC2"/>
        <w:rPr>
          <w:rFonts w:ascii="Arial" w:eastAsiaTheme="minorEastAsia" w:hAnsi="Arial" w:cs="Arial"/>
          <w:smallCaps w:val="0"/>
          <w:noProof/>
          <w:sz w:val="22"/>
          <w:szCs w:val="22"/>
          <w:lang w:eastAsia="en-GB" w:bidi="ar-SA"/>
        </w:rPr>
      </w:pPr>
      <w:hyperlink w:anchor="_Toc379448905" w:history="1">
        <w:r w:rsidR="00F17A38" w:rsidRPr="00F17A38">
          <w:rPr>
            <w:rStyle w:val="Hyperlink"/>
            <w:rFonts w:ascii="Arial" w:hAnsi="Arial" w:cs="Arial"/>
            <w:noProof/>
          </w:rPr>
          <w:t>1.3</w:t>
        </w:r>
        <w:r w:rsidR="00F17A38" w:rsidRPr="00F17A38">
          <w:rPr>
            <w:rFonts w:ascii="Arial" w:eastAsiaTheme="minorEastAsia" w:hAnsi="Arial" w:cs="Arial"/>
            <w:smallCaps w:val="0"/>
            <w:noProof/>
            <w:sz w:val="22"/>
            <w:szCs w:val="22"/>
            <w:lang w:eastAsia="en-GB" w:bidi="ar-SA"/>
          </w:rPr>
          <w:tab/>
        </w:r>
        <w:r w:rsidR="00F17A38" w:rsidRPr="00F17A38">
          <w:rPr>
            <w:rStyle w:val="Hyperlink"/>
            <w:rFonts w:ascii="Arial" w:hAnsi="Arial" w:cs="Arial"/>
            <w:noProof/>
          </w:rPr>
          <w:t>Australian and New Zealand food labelling requirements for declaring dietary fibre</w:t>
        </w:r>
        <w:r w:rsidR="00F17A38" w:rsidRPr="00F17A38">
          <w:rPr>
            <w:rFonts w:ascii="Arial" w:hAnsi="Arial" w:cs="Arial"/>
            <w:noProof/>
            <w:webHidden/>
          </w:rPr>
          <w:tab/>
        </w:r>
        <w:r w:rsidR="00F17A38" w:rsidRPr="00F17A38">
          <w:rPr>
            <w:rFonts w:ascii="Arial" w:hAnsi="Arial" w:cs="Arial"/>
            <w:noProof/>
            <w:webHidden/>
          </w:rPr>
          <w:fldChar w:fldCharType="begin"/>
        </w:r>
        <w:r w:rsidR="00F17A38" w:rsidRPr="00F17A38">
          <w:rPr>
            <w:rFonts w:ascii="Arial" w:hAnsi="Arial" w:cs="Arial"/>
            <w:noProof/>
            <w:webHidden/>
          </w:rPr>
          <w:instrText xml:space="preserve"> PAGEREF _Toc379448905 \h </w:instrText>
        </w:r>
        <w:r w:rsidR="00F17A38" w:rsidRPr="00F17A38">
          <w:rPr>
            <w:rFonts w:ascii="Arial" w:hAnsi="Arial" w:cs="Arial"/>
            <w:noProof/>
            <w:webHidden/>
          </w:rPr>
        </w:r>
        <w:r w:rsidR="00F17A38" w:rsidRPr="00F17A38">
          <w:rPr>
            <w:rFonts w:ascii="Arial" w:hAnsi="Arial" w:cs="Arial"/>
            <w:noProof/>
            <w:webHidden/>
          </w:rPr>
          <w:fldChar w:fldCharType="separate"/>
        </w:r>
        <w:r w:rsidR="003423C4">
          <w:rPr>
            <w:rFonts w:ascii="Arial" w:hAnsi="Arial" w:cs="Arial"/>
            <w:noProof/>
            <w:webHidden/>
          </w:rPr>
          <w:t>3</w:t>
        </w:r>
        <w:r w:rsidR="00F17A38" w:rsidRPr="00F17A38">
          <w:rPr>
            <w:rFonts w:ascii="Arial" w:hAnsi="Arial" w:cs="Arial"/>
            <w:noProof/>
            <w:webHidden/>
          </w:rPr>
          <w:fldChar w:fldCharType="end"/>
        </w:r>
      </w:hyperlink>
    </w:p>
    <w:p w:rsidR="00F17A38" w:rsidRPr="00F17A38" w:rsidRDefault="00297F7B">
      <w:pPr>
        <w:pStyle w:val="TOC1"/>
        <w:rPr>
          <w:rFonts w:eastAsiaTheme="minorEastAsia"/>
          <w:b w:val="0"/>
          <w:bCs w:val="0"/>
          <w:caps w:val="0"/>
          <w:lang w:eastAsia="en-GB" w:bidi="ar-SA"/>
        </w:rPr>
      </w:pPr>
      <w:hyperlink w:anchor="_Toc379448906" w:history="1">
        <w:r w:rsidR="00F17A38" w:rsidRPr="00F17A38">
          <w:rPr>
            <w:rStyle w:val="Hyperlink"/>
          </w:rPr>
          <w:t>2.</w:t>
        </w:r>
        <w:r w:rsidR="00F17A38" w:rsidRPr="00F17A38">
          <w:rPr>
            <w:rFonts w:eastAsiaTheme="minorEastAsia"/>
            <w:b w:val="0"/>
            <w:bCs w:val="0"/>
            <w:caps w:val="0"/>
            <w:lang w:eastAsia="en-GB" w:bidi="ar-SA"/>
          </w:rPr>
          <w:tab/>
        </w:r>
        <w:r w:rsidR="00F17A38" w:rsidRPr="00F17A38">
          <w:rPr>
            <w:rStyle w:val="Hyperlink"/>
          </w:rPr>
          <w:t>Objectives and approach</w:t>
        </w:r>
        <w:r w:rsidR="00F17A38" w:rsidRPr="00F17A38">
          <w:rPr>
            <w:webHidden/>
          </w:rPr>
          <w:tab/>
        </w:r>
        <w:r w:rsidR="00F17A38" w:rsidRPr="00F17A38">
          <w:rPr>
            <w:webHidden/>
          </w:rPr>
          <w:fldChar w:fldCharType="begin"/>
        </w:r>
        <w:r w:rsidR="00F17A38" w:rsidRPr="00F17A38">
          <w:rPr>
            <w:webHidden/>
          </w:rPr>
          <w:instrText xml:space="preserve"> PAGEREF _Toc379448906 \h </w:instrText>
        </w:r>
        <w:r w:rsidR="00F17A38" w:rsidRPr="00F17A38">
          <w:rPr>
            <w:webHidden/>
          </w:rPr>
        </w:r>
        <w:r w:rsidR="00F17A38" w:rsidRPr="00F17A38">
          <w:rPr>
            <w:webHidden/>
          </w:rPr>
          <w:fldChar w:fldCharType="separate"/>
        </w:r>
        <w:r w:rsidR="003423C4">
          <w:rPr>
            <w:webHidden/>
          </w:rPr>
          <w:t>3</w:t>
        </w:r>
        <w:r w:rsidR="00F17A38" w:rsidRPr="00F17A38">
          <w:rPr>
            <w:webHidden/>
          </w:rPr>
          <w:fldChar w:fldCharType="end"/>
        </w:r>
      </w:hyperlink>
    </w:p>
    <w:p w:rsidR="00F17A38" w:rsidRPr="00F17A38" w:rsidRDefault="00297F7B">
      <w:pPr>
        <w:pStyle w:val="TOC1"/>
        <w:rPr>
          <w:rFonts w:eastAsiaTheme="minorEastAsia"/>
          <w:b w:val="0"/>
          <w:bCs w:val="0"/>
          <w:caps w:val="0"/>
          <w:lang w:eastAsia="en-GB" w:bidi="ar-SA"/>
        </w:rPr>
      </w:pPr>
      <w:hyperlink w:anchor="_Toc379448907" w:history="1">
        <w:r w:rsidR="00F17A38" w:rsidRPr="00F17A38">
          <w:rPr>
            <w:rStyle w:val="Hyperlink"/>
          </w:rPr>
          <w:t>3.</w:t>
        </w:r>
        <w:r w:rsidR="00F17A38" w:rsidRPr="00F17A38">
          <w:rPr>
            <w:rFonts w:eastAsiaTheme="minorEastAsia"/>
            <w:b w:val="0"/>
            <w:bCs w:val="0"/>
            <w:caps w:val="0"/>
            <w:lang w:eastAsia="en-GB" w:bidi="ar-SA"/>
          </w:rPr>
          <w:tab/>
        </w:r>
        <w:r w:rsidR="00F17A38" w:rsidRPr="00F17A38">
          <w:rPr>
            <w:rStyle w:val="Hyperlink"/>
          </w:rPr>
          <w:t>Analysis of issues</w:t>
        </w:r>
        <w:r w:rsidR="00F17A38" w:rsidRPr="00F17A38">
          <w:rPr>
            <w:webHidden/>
          </w:rPr>
          <w:tab/>
        </w:r>
        <w:r w:rsidR="00F17A38" w:rsidRPr="00F17A38">
          <w:rPr>
            <w:webHidden/>
          </w:rPr>
          <w:fldChar w:fldCharType="begin"/>
        </w:r>
        <w:r w:rsidR="00F17A38" w:rsidRPr="00F17A38">
          <w:rPr>
            <w:webHidden/>
          </w:rPr>
          <w:instrText xml:space="preserve"> PAGEREF _Toc379448907 \h </w:instrText>
        </w:r>
        <w:r w:rsidR="00F17A38" w:rsidRPr="00F17A38">
          <w:rPr>
            <w:webHidden/>
          </w:rPr>
        </w:r>
        <w:r w:rsidR="00F17A38" w:rsidRPr="00F17A38">
          <w:rPr>
            <w:webHidden/>
          </w:rPr>
          <w:fldChar w:fldCharType="separate"/>
        </w:r>
        <w:r w:rsidR="003423C4">
          <w:rPr>
            <w:webHidden/>
          </w:rPr>
          <w:t>4</w:t>
        </w:r>
        <w:r w:rsidR="00F17A38" w:rsidRPr="00F17A38">
          <w:rPr>
            <w:webHidden/>
          </w:rPr>
          <w:fldChar w:fldCharType="end"/>
        </w:r>
      </w:hyperlink>
    </w:p>
    <w:p w:rsidR="00F17A38" w:rsidRPr="00F17A38" w:rsidRDefault="00297F7B">
      <w:pPr>
        <w:pStyle w:val="TOC2"/>
        <w:rPr>
          <w:rFonts w:ascii="Arial" w:eastAsiaTheme="minorEastAsia" w:hAnsi="Arial" w:cs="Arial"/>
          <w:smallCaps w:val="0"/>
          <w:noProof/>
          <w:sz w:val="22"/>
          <w:szCs w:val="22"/>
          <w:lang w:eastAsia="en-GB" w:bidi="ar-SA"/>
        </w:rPr>
      </w:pPr>
      <w:hyperlink w:anchor="_Toc379448908" w:history="1">
        <w:r w:rsidR="00F17A38" w:rsidRPr="00F17A38">
          <w:rPr>
            <w:rStyle w:val="Hyperlink"/>
            <w:rFonts w:ascii="Arial" w:hAnsi="Arial" w:cs="Arial"/>
            <w:noProof/>
          </w:rPr>
          <w:t>3.1</w:t>
        </w:r>
        <w:r w:rsidR="00F17A38" w:rsidRPr="00F17A38">
          <w:rPr>
            <w:rFonts w:ascii="Arial" w:eastAsiaTheme="minorEastAsia" w:hAnsi="Arial" w:cs="Arial"/>
            <w:smallCaps w:val="0"/>
            <w:noProof/>
            <w:sz w:val="22"/>
            <w:szCs w:val="22"/>
            <w:lang w:eastAsia="en-GB" w:bidi="ar-SA"/>
          </w:rPr>
          <w:tab/>
        </w:r>
        <w:r w:rsidR="00F17A38" w:rsidRPr="00F17A38">
          <w:rPr>
            <w:rStyle w:val="Hyperlink"/>
            <w:rFonts w:ascii="Arial" w:hAnsi="Arial" w:cs="Arial"/>
            <w:noProof/>
          </w:rPr>
          <w:t>Mandating the declaration of naturally occurring dietary fibre in the NIP</w:t>
        </w:r>
        <w:r w:rsidR="00F17A38" w:rsidRPr="00F17A38">
          <w:rPr>
            <w:rFonts w:ascii="Arial" w:hAnsi="Arial" w:cs="Arial"/>
            <w:noProof/>
            <w:webHidden/>
          </w:rPr>
          <w:tab/>
        </w:r>
        <w:r w:rsidR="00F17A38" w:rsidRPr="00F17A38">
          <w:rPr>
            <w:rFonts w:ascii="Arial" w:hAnsi="Arial" w:cs="Arial"/>
            <w:noProof/>
            <w:webHidden/>
          </w:rPr>
          <w:fldChar w:fldCharType="begin"/>
        </w:r>
        <w:r w:rsidR="00F17A38" w:rsidRPr="00F17A38">
          <w:rPr>
            <w:rFonts w:ascii="Arial" w:hAnsi="Arial" w:cs="Arial"/>
            <w:noProof/>
            <w:webHidden/>
          </w:rPr>
          <w:instrText xml:space="preserve"> PAGEREF _Toc379448908 \h </w:instrText>
        </w:r>
        <w:r w:rsidR="00F17A38" w:rsidRPr="00F17A38">
          <w:rPr>
            <w:rFonts w:ascii="Arial" w:hAnsi="Arial" w:cs="Arial"/>
            <w:noProof/>
            <w:webHidden/>
          </w:rPr>
        </w:r>
        <w:r w:rsidR="00F17A38" w:rsidRPr="00F17A38">
          <w:rPr>
            <w:rFonts w:ascii="Arial" w:hAnsi="Arial" w:cs="Arial"/>
            <w:noProof/>
            <w:webHidden/>
          </w:rPr>
          <w:fldChar w:fldCharType="separate"/>
        </w:r>
        <w:r w:rsidR="003423C4">
          <w:rPr>
            <w:rFonts w:ascii="Arial" w:hAnsi="Arial" w:cs="Arial"/>
            <w:noProof/>
            <w:webHidden/>
          </w:rPr>
          <w:t>4</w:t>
        </w:r>
        <w:r w:rsidR="00F17A38" w:rsidRPr="00F17A38">
          <w:rPr>
            <w:rFonts w:ascii="Arial" w:hAnsi="Arial" w:cs="Arial"/>
            <w:noProof/>
            <w:webHidden/>
          </w:rPr>
          <w:fldChar w:fldCharType="end"/>
        </w:r>
      </w:hyperlink>
    </w:p>
    <w:p w:rsidR="00F17A38" w:rsidRPr="00F17A38" w:rsidRDefault="00297F7B">
      <w:pPr>
        <w:pStyle w:val="TOC2"/>
        <w:rPr>
          <w:rFonts w:ascii="Arial" w:eastAsiaTheme="minorEastAsia" w:hAnsi="Arial" w:cs="Arial"/>
          <w:smallCaps w:val="0"/>
          <w:noProof/>
          <w:sz w:val="22"/>
          <w:szCs w:val="22"/>
          <w:lang w:eastAsia="en-GB" w:bidi="ar-SA"/>
        </w:rPr>
      </w:pPr>
      <w:hyperlink w:anchor="_Toc379448909" w:history="1">
        <w:r w:rsidR="00F17A38" w:rsidRPr="00F17A38">
          <w:rPr>
            <w:rStyle w:val="Hyperlink"/>
            <w:rFonts w:ascii="Arial" w:hAnsi="Arial" w:cs="Arial"/>
            <w:noProof/>
          </w:rPr>
          <w:t>3.2</w:t>
        </w:r>
        <w:r w:rsidR="00F17A38" w:rsidRPr="00F17A38">
          <w:rPr>
            <w:rFonts w:ascii="Arial" w:eastAsiaTheme="minorEastAsia" w:hAnsi="Arial" w:cs="Arial"/>
            <w:smallCaps w:val="0"/>
            <w:noProof/>
            <w:sz w:val="22"/>
            <w:szCs w:val="22"/>
            <w:lang w:eastAsia="en-GB" w:bidi="ar-SA"/>
          </w:rPr>
          <w:tab/>
        </w:r>
        <w:r w:rsidR="00F17A38" w:rsidRPr="00F17A38">
          <w:rPr>
            <w:rStyle w:val="Hyperlink"/>
            <w:rFonts w:ascii="Arial" w:hAnsi="Arial" w:cs="Arial"/>
            <w:noProof/>
          </w:rPr>
          <w:t>Mandating declaration of total dietary fibre in the NIP</w:t>
        </w:r>
        <w:r w:rsidR="00F17A38" w:rsidRPr="00F17A38">
          <w:rPr>
            <w:rFonts w:ascii="Arial" w:hAnsi="Arial" w:cs="Arial"/>
            <w:noProof/>
            <w:webHidden/>
          </w:rPr>
          <w:tab/>
        </w:r>
        <w:r w:rsidR="00F17A38" w:rsidRPr="00F17A38">
          <w:rPr>
            <w:rFonts w:ascii="Arial" w:hAnsi="Arial" w:cs="Arial"/>
            <w:noProof/>
            <w:webHidden/>
          </w:rPr>
          <w:fldChar w:fldCharType="begin"/>
        </w:r>
        <w:r w:rsidR="00F17A38" w:rsidRPr="00F17A38">
          <w:rPr>
            <w:rFonts w:ascii="Arial" w:hAnsi="Arial" w:cs="Arial"/>
            <w:noProof/>
            <w:webHidden/>
          </w:rPr>
          <w:instrText xml:space="preserve"> PAGEREF _Toc379448909 \h </w:instrText>
        </w:r>
        <w:r w:rsidR="00F17A38" w:rsidRPr="00F17A38">
          <w:rPr>
            <w:rFonts w:ascii="Arial" w:hAnsi="Arial" w:cs="Arial"/>
            <w:noProof/>
            <w:webHidden/>
          </w:rPr>
        </w:r>
        <w:r w:rsidR="00F17A38" w:rsidRPr="00F17A38">
          <w:rPr>
            <w:rFonts w:ascii="Arial" w:hAnsi="Arial" w:cs="Arial"/>
            <w:noProof/>
            <w:webHidden/>
          </w:rPr>
          <w:fldChar w:fldCharType="separate"/>
        </w:r>
        <w:r w:rsidR="003423C4">
          <w:rPr>
            <w:rFonts w:ascii="Arial" w:hAnsi="Arial" w:cs="Arial"/>
            <w:noProof/>
            <w:webHidden/>
          </w:rPr>
          <w:t>6</w:t>
        </w:r>
        <w:r w:rsidR="00F17A38" w:rsidRPr="00F17A38">
          <w:rPr>
            <w:rFonts w:ascii="Arial" w:hAnsi="Arial" w:cs="Arial"/>
            <w:noProof/>
            <w:webHidden/>
          </w:rPr>
          <w:fldChar w:fldCharType="end"/>
        </w:r>
      </w:hyperlink>
    </w:p>
    <w:p w:rsidR="00F17A38" w:rsidRPr="00F17A38" w:rsidRDefault="00297F7B">
      <w:pPr>
        <w:pStyle w:val="TOC1"/>
        <w:rPr>
          <w:rFonts w:eastAsiaTheme="minorEastAsia"/>
          <w:b w:val="0"/>
          <w:bCs w:val="0"/>
          <w:caps w:val="0"/>
          <w:lang w:eastAsia="en-GB" w:bidi="ar-SA"/>
        </w:rPr>
      </w:pPr>
      <w:hyperlink w:anchor="_Toc379448910" w:history="1">
        <w:r w:rsidR="00F17A38" w:rsidRPr="00F17A38">
          <w:rPr>
            <w:rStyle w:val="Hyperlink"/>
          </w:rPr>
          <w:t>4.</w:t>
        </w:r>
        <w:r w:rsidR="00F17A38" w:rsidRPr="00F17A38">
          <w:rPr>
            <w:rFonts w:eastAsiaTheme="minorEastAsia"/>
            <w:b w:val="0"/>
            <w:bCs w:val="0"/>
            <w:caps w:val="0"/>
            <w:lang w:eastAsia="en-GB" w:bidi="ar-SA"/>
          </w:rPr>
          <w:tab/>
        </w:r>
        <w:r w:rsidR="00F17A38" w:rsidRPr="00F17A38">
          <w:rPr>
            <w:rStyle w:val="Hyperlink"/>
          </w:rPr>
          <w:t>Conclusion</w:t>
        </w:r>
        <w:r w:rsidR="00F17A38" w:rsidRPr="00F17A38">
          <w:rPr>
            <w:webHidden/>
          </w:rPr>
          <w:tab/>
        </w:r>
        <w:r w:rsidR="00F17A38" w:rsidRPr="00F17A38">
          <w:rPr>
            <w:webHidden/>
          </w:rPr>
          <w:fldChar w:fldCharType="begin"/>
        </w:r>
        <w:r w:rsidR="00F17A38" w:rsidRPr="00F17A38">
          <w:rPr>
            <w:webHidden/>
          </w:rPr>
          <w:instrText xml:space="preserve"> PAGEREF _Toc379448910 \h </w:instrText>
        </w:r>
        <w:r w:rsidR="00F17A38" w:rsidRPr="00F17A38">
          <w:rPr>
            <w:webHidden/>
          </w:rPr>
        </w:r>
        <w:r w:rsidR="00F17A38" w:rsidRPr="00F17A38">
          <w:rPr>
            <w:webHidden/>
          </w:rPr>
          <w:fldChar w:fldCharType="separate"/>
        </w:r>
        <w:r w:rsidR="003423C4">
          <w:rPr>
            <w:webHidden/>
          </w:rPr>
          <w:t>10</w:t>
        </w:r>
        <w:r w:rsidR="00F17A38" w:rsidRPr="00F17A38">
          <w:rPr>
            <w:webHidden/>
          </w:rPr>
          <w:fldChar w:fldCharType="end"/>
        </w:r>
      </w:hyperlink>
    </w:p>
    <w:p w:rsidR="00F17A38" w:rsidRPr="00F17A38" w:rsidRDefault="00297F7B">
      <w:pPr>
        <w:pStyle w:val="TOC1"/>
        <w:rPr>
          <w:rFonts w:eastAsiaTheme="minorEastAsia"/>
          <w:b w:val="0"/>
          <w:bCs w:val="0"/>
          <w:caps w:val="0"/>
          <w:lang w:eastAsia="en-GB" w:bidi="ar-SA"/>
        </w:rPr>
      </w:pPr>
      <w:hyperlink w:anchor="_Toc379448911" w:history="1">
        <w:r w:rsidR="00F17A38" w:rsidRPr="00F17A38">
          <w:rPr>
            <w:rStyle w:val="Hyperlink"/>
          </w:rPr>
          <w:t>5.</w:t>
        </w:r>
        <w:r w:rsidR="00F17A38" w:rsidRPr="00F17A38">
          <w:rPr>
            <w:rFonts w:eastAsiaTheme="minorEastAsia"/>
            <w:b w:val="0"/>
            <w:bCs w:val="0"/>
            <w:caps w:val="0"/>
            <w:lang w:eastAsia="en-GB" w:bidi="ar-SA"/>
          </w:rPr>
          <w:tab/>
        </w:r>
        <w:r w:rsidR="00F17A38" w:rsidRPr="00F17A38">
          <w:rPr>
            <w:rStyle w:val="Hyperlink"/>
          </w:rPr>
          <w:t>References</w:t>
        </w:r>
        <w:r w:rsidR="00F17A38" w:rsidRPr="00F17A38">
          <w:rPr>
            <w:webHidden/>
          </w:rPr>
          <w:tab/>
        </w:r>
        <w:r w:rsidR="00F17A38" w:rsidRPr="00F17A38">
          <w:rPr>
            <w:webHidden/>
          </w:rPr>
          <w:fldChar w:fldCharType="begin"/>
        </w:r>
        <w:r w:rsidR="00F17A38" w:rsidRPr="00F17A38">
          <w:rPr>
            <w:webHidden/>
          </w:rPr>
          <w:instrText xml:space="preserve"> PAGEREF _Toc379448911 \h </w:instrText>
        </w:r>
        <w:r w:rsidR="00F17A38" w:rsidRPr="00F17A38">
          <w:rPr>
            <w:webHidden/>
          </w:rPr>
        </w:r>
        <w:r w:rsidR="00F17A38" w:rsidRPr="00F17A38">
          <w:rPr>
            <w:webHidden/>
          </w:rPr>
          <w:fldChar w:fldCharType="separate"/>
        </w:r>
        <w:r w:rsidR="003423C4">
          <w:rPr>
            <w:webHidden/>
          </w:rPr>
          <w:t>11</w:t>
        </w:r>
        <w:r w:rsidR="00F17A38" w:rsidRPr="00F17A38">
          <w:rPr>
            <w:webHidden/>
          </w:rPr>
          <w:fldChar w:fldCharType="end"/>
        </w:r>
      </w:hyperlink>
    </w:p>
    <w:p w:rsidR="007F7BF7" w:rsidRPr="0024768B" w:rsidRDefault="00B46426" w:rsidP="00A13FB6">
      <w:pPr>
        <w:tabs>
          <w:tab w:val="right" w:leader="dot" w:pos="9072"/>
        </w:tabs>
      </w:pPr>
      <w:r w:rsidRPr="00F17A38">
        <w:rPr>
          <w:rFonts w:cs="Arial"/>
          <w:szCs w:val="22"/>
        </w:rPr>
        <w:fldChar w:fldCharType="end"/>
      </w:r>
    </w:p>
    <w:p w:rsidR="00A671E6" w:rsidRPr="0024768B" w:rsidRDefault="00A671E6" w:rsidP="00A671E6">
      <w:pPr>
        <w:rPr>
          <w:b/>
          <w:bCs/>
        </w:rPr>
      </w:pPr>
      <w:r w:rsidRPr="0024768B">
        <w:rPr>
          <w:b/>
          <w:bCs/>
        </w:rPr>
        <w:t>S</w:t>
      </w:r>
      <w:r w:rsidR="007C22CB" w:rsidRPr="0024768B">
        <w:rPr>
          <w:b/>
          <w:bCs/>
        </w:rPr>
        <w:t>upporting</w:t>
      </w:r>
      <w:r w:rsidR="00224E3B" w:rsidRPr="0024768B">
        <w:rPr>
          <w:b/>
          <w:bCs/>
        </w:rPr>
        <w:t xml:space="preserve"> documents</w:t>
      </w:r>
      <w:r w:rsidRPr="0024768B">
        <w:rPr>
          <w:b/>
          <w:bCs/>
        </w:rPr>
        <w:t xml:space="preserve"> </w:t>
      </w:r>
    </w:p>
    <w:p w:rsidR="00A671E6" w:rsidRPr="0024768B" w:rsidRDefault="00A671E6" w:rsidP="00A671E6">
      <w:pPr>
        <w:rPr>
          <w:szCs w:val="22"/>
        </w:rPr>
      </w:pPr>
    </w:p>
    <w:p w:rsidR="007C22CB" w:rsidRPr="0035227E" w:rsidRDefault="007C22CB" w:rsidP="007C22CB">
      <w:pPr>
        <w:rPr>
          <w:szCs w:val="22"/>
        </w:rPr>
      </w:pPr>
      <w:r w:rsidRPr="0024768B">
        <w:rPr>
          <w:szCs w:val="22"/>
        </w:rPr>
        <w:t>The following documents</w:t>
      </w:r>
      <w:r w:rsidR="00EF7528" w:rsidRPr="0024768B">
        <w:rPr>
          <w:szCs w:val="22"/>
        </w:rPr>
        <w:t xml:space="preserve"> were </w:t>
      </w:r>
      <w:r w:rsidRPr="0024768B">
        <w:rPr>
          <w:szCs w:val="22"/>
        </w:rPr>
        <w:t xml:space="preserve">used to prepare this </w:t>
      </w:r>
      <w:r w:rsidR="00EF7528" w:rsidRPr="0024768B">
        <w:rPr>
          <w:szCs w:val="22"/>
        </w:rPr>
        <w:t>technical evaluation report:</w:t>
      </w:r>
    </w:p>
    <w:p w:rsidR="00A671E6" w:rsidRPr="0024768B" w:rsidRDefault="00A671E6" w:rsidP="00A671E6">
      <w:pPr>
        <w:rPr>
          <w:szCs w:val="22"/>
        </w:rPr>
      </w:pPr>
    </w:p>
    <w:p w:rsidR="00EF7528" w:rsidRPr="0024768B" w:rsidRDefault="00EF7528" w:rsidP="00EF7528">
      <w:pPr>
        <w:ind w:left="567" w:hanging="567"/>
      </w:pPr>
      <w:r w:rsidRPr="0024768B">
        <w:t>SD1</w:t>
      </w:r>
      <w:r w:rsidRPr="0024768B">
        <w:tab/>
        <w:t>Practicality and feasibility of differentiating natural from total dietary fibre</w:t>
      </w:r>
    </w:p>
    <w:p w:rsidR="00EF7528" w:rsidRPr="0035227E" w:rsidRDefault="00D30E90" w:rsidP="00EF7528">
      <w:pPr>
        <w:ind w:left="567" w:hanging="567"/>
      </w:pPr>
      <w:r w:rsidRPr="0024768B">
        <w:t>SD2</w:t>
      </w:r>
      <w:r w:rsidR="00EF7528" w:rsidRPr="0024768B">
        <w:tab/>
        <w:t>Rapid evidence assessment on consumer knowledge, attitudes and behaviours relating to dietary fibre</w:t>
      </w:r>
    </w:p>
    <w:p w:rsidR="00AF397D" w:rsidRPr="0024768B" w:rsidRDefault="00D15A08" w:rsidP="003A2C64">
      <w:pPr>
        <w:pStyle w:val="Heading1"/>
      </w:pPr>
      <w:r w:rsidRPr="0024768B">
        <w:br w:type="page"/>
      </w:r>
      <w:bookmarkStart w:id="3" w:name="_Toc374540813"/>
      <w:bookmarkStart w:id="4" w:name="_Toc379448902"/>
      <w:bookmarkStart w:id="5" w:name="_Toc11735627"/>
      <w:bookmarkStart w:id="6" w:name="_Toc29883110"/>
      <w:bookmarkStart w:id="7" w:name="_Toc41906797"/>
      <w:bookmarkStart w:id="8" w:name="_Toc41907544"/>
      <w:bookmarkStart w:id="9" w:name="_Toc120358575"/>
      <w:r w:rsidR="00A478B7" w:rsidRPr="0024768B">
        <w:lastRenderedPageBreak/>
        <w:t>1.</w:t>
      </w:r>
      <w:r w:rsidR="00A478B7" w:rsidRPr="0024768B">
        <w:tab/>
      </w:r>
      <w:r w:rsidR="00AF397D" w:rsidRPr="0024768B">
        <w:t>Introduction</w:t>
      </w:r>
      <w:bookmarkEnd w:id="3"/>
      <w:bookmarkEnd w:id="4"/>
    </w:p>
    <w:p w:rsidR="00AF397D" w:rsidRPr="0024768B" w:rsidRDefault="00A478B7" w:rsidP="003A2C64">
      <w:pPr>
        <w:pStyle w:val="Heading2"/>
      </w:pPr>
      <w:bookmarkStart w:id="10" w:name="_Toc374540814"/>
      <w:bookmarkStart w:id="11" w:name="_Toc379448903"/>
      <w:r w:rsidRPr="0024768B">
        <w:t>1</w:t>
      </w:r>
      <w:r w:rsidR="00AF397D" w:rsidRPr="0024768B">
        <w:t>.</w:t>
      </w:r>
      <w:r w:rsidR="004E4F85" w:rsidRPr="0024768B">
        <w:t>1</w:t>
      </w:r>
      <w:r w:rsidR="00AF397D" w:rsidRPr="0024768B">
        <w:tab/>
      </w:r>
      <w:r w:rsidR="00DC03E1" w:rsidRPr="0024768B">
        <w:t xml:space="preserve">Background to </w:t>
      </w:r>
      <w:r w:rsidR="004E4F85" w:rsidRPr="0024768B">
        <w:t>Recommendation 14</w:t>
      </w:r>
      <w:bookmarkEnd w:id="10"/>
      <w:bookmarkEnd w:id="11"/>
    </w:p>
    <w:p w:rsidR="00DC03E1" w:rsidRPr="0024768B" w:rsidRDefault="00DC03E1" w:rsidP="00DC03E1">
      <w:pPr>
        <w:autoSpaceDE w:val="0"/>
        <w:autoSpaceDN w:val="0"/>
        <w:adjustRightInd w:val="0"/>
        <w:rPr>
          <w:rFonts w:cs="Arial"/>
          <w:bCs/>
        </w:rPr>
      </w:pPr>
      <w:r w:rsidRPr="0024768B">
        <w:rPr>
          <w:rFonts w:cs="Arial"/>
          <w:bCs/>
        </w:rPr>
        <w:t>In 2009, the then Australian and New Zealand Ministerial Council for Food Regulation (now known as the COAG Legislative and Governance Forum on Food Regulation (</w:t>
      </w:r>
      <w:r w:rsidR="00133034" w:rsidRPr="0024768B">
        <w:rPr>
          <w:rFonts w:cs="Arial"/>
          <w:bCs/>
        </w:rPr>
        <w:t xml:space="preserve">the </w:t>
      </w:r>
      <w:r w:rsidRPr="0024768B">
        <w:rPr>
          <w:rFonts w:cs="Arial"/>
          <w:bCs/>
        </w:rPr>
        <w:t xml:space="preserve">Forum)) agreed to a comprehensive independent review of food labelling law and policy. An expert panel, chaired by Dr Neal Blewett, AC, undertook the review and the panel’s final report, </w:t>
      </w:r>
      <w:r w:rsidRPr="0024768B">
        <w:rPr>
          <w:i/>
        </w:rPr>
        <w:t xml:space="preserve">Labelling Logic: Review of Food Labelling Law and Policy (2011) </w:t>
      </w:r>
      <w:r w:rsidRPr="0024768B">
        <w:t xml:space="preserve">(Labelling Logic), </w:t>
      </w:r>
      <w:r w:rsidRPr="0024768B">
        <w:rPr>
          <w:rFonts w:cs="Arial"/>
          <w:bCs/>
        </w:rPr>
        <w:t xml:space="preserve">was publicly released on 28 January 2011. </w:t>
      </w:r>
    </w:p>
    <w:p w:rsidR="00DC03E1" w:rsidRPr="0024768B" w:rsidRDefault="00DC03E1" w:rsidP="00DC03E1">
      <w:pPr>
        <w:rPr>
          <w:rFonts w:cs="Arial"/>
          <w:bCs/>
          <w:szCs w:val="22"/>
        </w:rPr>
      </w:pPr>
    </w:p>
    <w:p w:rsidR="00AF397D" w:rsidRPr="0024768B" w:rsidRDefault="004B65C0" w:rsidP="004B65C0">
      <w:pPr>
        <w:rPr>
          <w:szCs w:val="22"/>
        </w:rPr>
      </w:pPr>
      <w:r w:rsidRPr="0024768B">
        <w:rPr>
          <w:rStyle w:val="ms-rtefontsize-21"/>
          <w:rFonts w:cs="Arial"/>
          <w:sz w:val="22"/>
          <w:szCs w:val="22"/>
        </w:rPr>
        <w:t xml:space="preserve">Recommendation 14 </w:t>
      </w:r>
      <w:r w:rsidR="00010835" w:rsidRPr="0024768B">
        <w:rPr>
          <w:rStyle w:val="ms-rtefontsize-21"/>
          <w:rFonts w:cs="Arial"/>
          <w:sz w:val="22"/>
          <w:szCs w:val="22"/>
        </w:rPr>
        <w:t xml:space="preserve">from </w:t>
      </w:r>
      <w:r w:rsidRPr="0024768B">
        <w:rPr>
          <w:rStyle w:val="ms-rtefontsize-21"/>
          <w:rFonts w:cs="Arial"/>
          <w:sz w:val="22"/>
          <w:szCs w:val="22"/>
        </w:rPr>
        <w:t xml:space="preserve">Labelling Logic </w:t>
      </w:r>
      <w:r w:rsidR="00A73911">
        <w:rPr>
          <w:rStyle w:val="ms-rtefontsize-21"/>
          <w:rFonts w:cs="Arial"/>
          <w:sz w:val="22"/>
          <w:szCs w:val="22"/>
        </w:rPr>
        <w:t>states</w:t>
      </w:r>
      <w:r w:rsidR="00A73911" w:rsidRPr="0024768B">
        <w:rPr>
          <w:rStyle w:val="ms-rtefontsize-21"/>
          <w:rFonts w:cs="Arial"/>
          <w:sz w:val="22"/>
          <w:szCs w:val="22"/>
        </w:rPr>
        <w:t xml:space="preserve"> </w:t>
      </w:r>
      <w:r w:rsidRPr="0024768B">
        <w:rPr>
          <w:rStyle w:val="ms-rtefontsize-21"/>
          <w:rFonts w:cs="Arial"/>
          <w:b/>
          <w:sz w:val="22"/>
          <w:szCs w:val="22"/>
        </w:rPr>
        <w:t>that declaration of total and naturally occurring fibre content be consider</w:t>
      </w:r>
      <w:r w:rsidR="00010835" w:rsidRPr="0024768B">
        <w:rPr>
          <w:rStyle w:val="ms-rtefontsize-21"/>
          <w:rFonts w:cs="Arial"/>
          <w:b/>
          <w:sz w:val="22"/>
          <w:szCs w:val="22"/>
        </w:rPr>
        <w:t>ed as a mandatory requirement in</w:t>
      </w:r>
      <w:r w:rsidRPr="0024768B">
        <w:rPr>
          <w:rStyle w:val="ms-rtefontsize-21"/>
          <w:rFonts w:cs="Arial"/>
          <w:b/>
          <w:sz w:val="22"/>
          <w:szCs w:val="22"/>
        </w:rPr>
        <w:t xml:space="preserve"> the Nutrition Information Panel (NIP)</w:t>
      </w:r>
      <w:r w:rsidRPr="0024768B">
        <w:rPr>
          <w:rStyle w:val="ms-rtefontsize-21"/>
          <w:rFonts w:cs="Arial"/>
          <w:sz w:val="22"/>
          <w:szCs w:val="22"/>
        </w:rPr>
        <w:t>.</w:t>
      </w:r>
    </w:p>
    <w:p w:rsidR="005D739D" w:rsidRPr="0024768B" w:rsidRDefault="005D739D" w:rsidP="00AD4EA0">
      <w:pPr>
        <w:keepNext/>
        <w:rPr>
          <w:rFonts w:cs="Arial"/>
          <w:b/>
        </w:rPr>
      </w:pPr>
    </w:p>
    <w:p w:rsidR="004B65C0" w:rsidRPr="0024768B" w:rsidRDefault="00B34310" w:rsidP="00637B9C">
      <w:pPr>
        <w:rPr>
          <w:rFonts w:cs="Arial"/>
        </w:rPr>
      </w:pPr>
      <w:r w:rsidRPr="0024768B">
        <w:rPr>
          <w:rFonts w:cs="Arial"/>
          <w:bCs/>
        </w:rPr>
        <w:t>In making this recommendation, the</w:t>
      </w:r>
      <w:r w:rsidR="00CE7AC8" w:rsidRPr="0024768B">
        <w:rPr>
          <w:rFonts w:cs="Arial"/>
          <w:bCs/>
        </w:rPr>
        <w:t xml:space="preserve"> labelling r</w:t>
      </w:r>
      <w:r w:rsidR="00B41C69" w:rsidRPr="0024768B">
        <w:rPr>
          <w:rFonts w:cs="Arial"/>
          <w:bCs/>
        </w:rPr>
        <w:t>eview</w:t>
      </w:r>
      <w:r w:rsidR="00B41C69" w:rsidRPr="0024768B">
        <w:rPr>
          <w:rFonts w:cs="Arial"/>
        </w:rPr>
        <w:t xml:space="preserve"> panel </w:t>
      </w:r>
      <w:r w:rsidRPr="0024768B">
        <w:rPr>
          <w:rFonts w:cs="Arial"/>
        </w:rPr>
        <w:t xml:space="preserve">considered that requirements for information </w:t>
      </w:r>
      <w:r w:rsidR="004B65C0" w:rsidRPr="0024768B">
        <w:rPr>
          <w:rFonts w:cs="Arial"/>
        </w:rPr>
        <w:t xml:space="preserve">should reflect national nutrition policy guidance. </w:t>
      </w:r>
      <w:r w:rsidR="0080635A" w:rsidRPr="0024768B">
        <w:t>Labelling Logic</w:t>
      </w:r>
      <w:r w:rsidR="0080635A" w:rsidRPr="0024768B">
        <w:rPr>
          <w:rFonts w:cs="Arial"/>
        </w:rPr>
        <w:t xml:space="preserve"> </w:t>
      </w:r>
      <w:r w:rsidRPr="0024768B">
        <w:rPr>
          <w:rFonts w:cs="Arial"/>
        </w:rPr>
        <w:t>states</w:t>
      </w:r>
      <w:r w:rsidR="004B65C0" w:rsidRPr="0024768B">
        <w:rPr>
          <w:rFonts w:cs="Arial"/>
        </w:rPr>
        <w:t xml:space="preserve"> that </w:t>
      </w:r>
      <w:r w:rsidR="004B65C0" w:rsidRPr="0024768B">
        <w:rPr>
          <w:rFonts w:cs="Arial"/>
          <w:i/>
        </w:rPr>
        <w:t xml:space="preserve">the Dietary Guidelines </w:t>
      </w:r>
      <w:r w:rsidR="00616DAD">
        <w:rPr>
          <w:rFonts w:cs="Arial"/>
          <w:i/>
        </w:rPr>
        <w:t>for Australian Adults</w:t>
      </w:r>
      <w:r w:rsidR="004B65C0" w:rsidRPr="0024768B">
        <w:rPr>
          <w:rFonts w:cs="Arial"/>
        </w:rPr>
        <w:t xml:space="preserve"> </w:t>
      </w:r>
      <w:r w:rsidR="004B65C0" w:rsidRPr="0024768B">
        <w:rPr>
          <w:rFonts w:cs="Arial"/>
          <w:i/>
        </w:rPr>
        <w:t>identifie</w:t>
      </w:r>
      <w:r w:rsidR="00816CDE" w:rsidRPr="0024768B">
        <w:rPr>
          <w:rFonts w:cs="Arial"/>
          <w:i/>
        </w:rPr>
        <w:t xml:space="preserve">s the importance of </w:t>
      </w:r>
      <w:r w:rsidR="004B65C0" w:rsidRPr="0024768B">
        <w:rPr>
          <w:rFonts w:cs="Arial"/>
          <w:i/>
        </w:rPr>
        <w:t>fibre</w:t>
      </w:r>
      <w:r w:rsidR="00816CDE" w:rsidRPr="0024768B">
        <w:rPr>
          <w:rFonts w:cs="Arial"/>
          <w:i/>
        </w:rPr>
        <w:t>, particularly</w:t>
      </w:r>
      <w:r w:rsidR="004B65C0" w:rsidRPr="0024768B">
        <w:rPr>
          <w:rFonts w:cs="Arial"/>
          <w:i/>
        </w:rPr>
        <w:t xml:space="preserve"> </w:t>
      </w:r>
      <w:r w:rsidR="00816CDE" w:rsidRPr="0024768B">
        <w:rPr>
          <w:rFonts w:cs="Arial"/>
          <w:i/>
        </w:rPr>
        <w:t xml:space="preserve">as part of </w:t>
      </w:r>
      <w:r w:rsidR="004B65C0" w:rsidRPr="0024768B">
        <w:rPr>
          <w:rFonts w:cs="Arial"/>
          <w:i/>
        </w:rPr>
        <w:t xml:space="preserve">whole cereals, fruits </w:t>
      </w:r>
      <w:r w:rsidR="00010835" w:rsidRPr="0024768B">
        <w:rPr>
          <w:rFonts w:cs="Arial"/>
          <w:i/>
        </w:rPr>
        <w:t>or</w:t>
      </w:r>
      <w:r w:rsidR="004B65C0" w:rsidRPr="0024768B">
        <w:rPr>
          <w:rFonts w:cs="Arial"/>
          <w:i/>
        </w:rPr>
        <w:t xml:space="preserve"> vegetables</w:t>
      </w:r>
      <w:r w:rsidR="00816CDE" w:rsidRPr="0024768B">
        <w:rPr>
          <w:rFonts w:cs="Arial"/>
          <w:i/>
        </w:rPr>
        <w:t>, in relation to</w:t>
      </w:r>
      <w:r w:rsidR="004B65C0" w:rsidRPr="0024768B">
        <w:rPr>
          <w:rFonts w:cs="Arial"/>
          <w:i/>
        </w:rPr>
        <w:t xml:space="preserve"> reduce</w:t>
      </w:r>
      <w:r w:rsidR="00816CDE" w:rsidRPr="0024768B">
        <w:rPr>
          <w:rFonts w:cs="Arial"/>
          <w:i/>
        </w:rPr>
        <w:t>d risk of</w:t>
      </w:r>
      <w:r w:rsidRPr="0024768B">
        <w:rPr>
          <w:rFonts w:cs="Arial"/>
          <w:i/>
        </w:rPr>
        <w:t xml:space="preserve"> cardiovascular disease</w:t>
      </w:r>
      <w:r w:rsidR="004B65C0" w:rsidRPr="0024768B">
        <w:rPr>
          <w:rFonts w:cs="Arial"/>
          <w:i/>
        </w:rPr>
        <w:t xml:space="preserve"> and improve</w:t>
      </w:r>
      <w:r w:rsidR="00816CDE" w:rsidRPr="0024768B">
        <w:rPr>
          <w:rFonts w:cs="Arial"/>
          <w:i/>
        </w:rPr>
        <w:t>d</w:t>
      </w:r>
      <w:r w:rsidR="004B65C0" w:rsidRPr="0024768B">
        <w:rPr>
          <w:rFonts w:cs="Arial"/>
          <w:i/>
        </w:rPr>
        <w:t xml:space="preserve"> gut health.</w:t>
      </w:r>
      <w:r w:rsidR="004B65C0" w:rsidRPr="0024768B">
        <w:rPr>
          <w:rFonts w:cs="Arial"/>
        </w:rPr>
        <w:t xml:space="preserve"> </w:t>
      </w:r>
      <w:r w:rsidR="003C77A2" w:rsidRPr="0024768B">
        <w:rPr>
          <w:rFonts w:cs="Arial"/>
          <w:i/>
        </w:rPr>
        <w:t xml:space="preserve">Thus requiring a declaration of naturally occurring fibre in the NIP is consistent with this dietary guideline. </w:t>
      </w:r>
      <w:r w:rsidR="00343D5C" w:rsidRPr="0024768B">
        <w:rPr>
          <w:rFonts w:cs="Arial"/>
          <w:i/>
        </w:rPr>
        <w:t>Specifying</w:t>
      </w:r>
      <w:r w:rsidR="00816CDE" w:rsidRPr="0024768B">
        <w:rPr>
          <w:rFonts w:cs="Arial"/>
          <w:i/>
        </w:rPr>
        <w:t xml:space="preserve"> </w:t>
      </w:r>
      <w:r w:rsidR="00010835" w:rsidRPr="0024768B">
        <w:rPr>
          <w:rFonts w:cs="Arial"/>
          <w:i/>
        </w:rPr>
        <w:t>dietary fibre as</w:t>
      </w:r>
      <w:r w:rsidR="004B65C0" w:rsidRPr="0024768B">
        <w:rPr>
          <w:rFonts w:cs="Arial"/>
          <w:i/>
        </w:rPr>
        <w:t xml:space="preserve"> naturally occurring </w:t>
      </w:r>
      <w:r w:rsidR="003C77A2" w:rsidRPr="0024768B">
        <w:rPr>
          <w:rFonts w:cs="Arial"/>
          <w:i/>
        </w:rPr>
        <w:t>is</w:t>
      </w:r>
      <w:r w:rsidR="00343D5C" w:rsidRPr="0024768B">
        <w:rPr>
          <w:rFonts w:cs="Arial"/>
          <w:i/>
        </w:rPr>
        <w:t xml:space="preserve"> important, as this </w:t>
      </w:r>
      <w:r w:rsidR="004B65C0" w:rsidRPr="0024768B">
        <w:rPr>
          <w:rFonts w:cs="Arial"/>
          <w:i/>
        </w:rPr>
        <w:t xml:space="preserve">will </w:t>
      </w:r>
      <w:r w:rsidR="00816CDE" w:rsidRPr="0024768B">
        <w:rPr>
          <w:rFonts w:cs="Arial"/>
          <w:i/>
        </w:rPr>
        <w:t xml:space="preserve">act to </w:t>
      </w:r>
      <w:r w:rsidR="004B65C0" w:rsidRPr="0024768B">
        <w:rPr>
          <w:rFonts w:cs="Arial"/>
          <w:i/>
        </w:rPr>
        <w:t xml:space="preserve">encourage consumption of wholegrain cereals, fruits and </w:t>
      </w:r>
      <w:r w:rsidR="00ED03D8" w:rsidRPr="0024768B">
        <w:rPr>
          <w:rFonts w:cs="Arial"/>
          <w:i/>
        </w:rPr>
        <w:t>vegetables, more accurately reflecting the intent of the dietary guidelines and maximising the beneficial effects of the diet more broadly.</w:t>
      </w:r>
    </w:p>
    <w:p w:rsidR="004B65C0" w:rsidRPr="0024768B" w:rsidRDefault="00A478B7" w:rsidP="003A2C64">
      <w:pPr>
        <w:pStyle w:val="Heading2"/>
      </w:pPr>
      <w:bookmarkStart w:id="12" w:name="_Toc374540815"/>
      <w:bookmarkStart w:id="13" w:name="_Toc379448904"/>
      <w:r w:rsidRPr="0024768B">
        <w:t>1</w:t>
      </w:r>
      <w:r w:rsidR="004B65C0" w:rsidRPr="0024768B">
        <w:t>.</w:t>
      </w:r>
      <w:r w:rsidR="0082491E" w:rsidRPr="0024768B">
        <w:t>2</w:t>
      </w:r>
      <w:r w:rsidR="004B65C0" w:rsidRPr="0024768B">
        <w:tab/>
        <w:t xml:space="preserve">Government </w:t>
      </w:r>
      <w:r w:rsidR="00AB01DB">
        <w:t>r</w:t>
      </w:r>
      <w:r w:rsidR="004B65C0" w:rsidRPr="0024768B">
        <w:t>esponse to Recommendation 14</w:t>
      </w:r>
      <w:bookmarkEnd w:id="12"/>
      <w:bookmarkEnd w:id="13"/>
    </w:p>
    <w:p w:rsidR="00B0402C" w:rsidRDefault="00A73911" w:rsidP="004B65C0">
      <w:pPr>
        <w:pStyle w:val="Default"/>
        <w:rPr>
          <w:rFonts w:ascii="Arial" w:hAnsi="Arial" w:cs="Arial"/>
          <w:sz w:val="22"/>
          <w:szCs w:val="22"/>
          <w:lang w:val="en-GB"/>
        </w:rPr>
      </w:pPr>
      <w:r>
        <w:rPr>
          <w:rFonts w:ascii="Arial" w:hAnsi="Arial" w:cs="Arial"/>
          <w:sz w:val="22"/>
          <w:szCs w:val="22"/>
          <w:lang w:val="en-GB"/>
        </w:rPr>
        <w:t>The government response to Labelling Logic</w:t>
      </w:r>
      <w:r w:rsidR="004B65C0" w:rsidRPr="0024768B">
        <w:rPr>
          <w:rFonts w:ascii="Arial" w:hAnsi="Arial" w:cs="Arial"/>
          <w:sz w:val="22"/>
          <w:szCs w:val="22"/>
          <w:lang w:val="en-GB"/>
        </w:rPr>
        <w:t xml:space="preserve"> </w:t>
      </w:r>
      <w:r w:rsidR="00E42A0F" w:rsidRPr="0024768B">
        <w:rPr>
          <w:rFonts w:ascii="Arial" w:hAnsi="Arial" w:cs="Arial"/>
          <w:sz w:val="22"/>
          <w:szCs w:val="22"/>
          <w:lang w:val="en-GB"/>
        </w:rPr>
        <w:t>considered Recommendation 14 in association with two other recommendations (Recommendations 12</w:t>
      </w:r>
      <w:r w:rsidR="00616DAD">
        <w:rPr>
          <w:rStyle w:val="FootnoteReference"/>
          <w:rFonts w:ascii="Arial" w:hAnsi="Arial" w:cs="Arial"/>
          <w:sz w:val="22"/>
          <w:szCs w:val="22"/>
          <w:lang w:val="en-GB"/>
        </w:rPr>
        <w:footnoteReference w:id="2"/>
      </w:r>
      <w:r w:rsidR="00E42A0F" w:rsidRPr="0024768B">
        <w:rPr>
          <w:rFonts w:ascii="Arial" w:hAnsi="Arial" w:cs="Arial"/>
          <w:sz w:val="22"/>
          <w:szCs w:val="22"/>
          <w:lang w:val="en-GB"/>
        </w:rPr>
        <w:t xml:space="preserve"> and 13</w:t>
      </w:r>
      <w:r w:rsidR="00616DAD">
        <w:rPr>
          <w:rStyle w:val="FootnoteReference"/>
          <w:rFonts w:ascii="Arial" w:hAnsi="Arial" w:cs="Arial"/>
          <w:sz w:val="22"/>
          <w:szCs w:val="22"/>
          <w:lang w:val="en-GB"/>
        </w:rPr>
        <w:footnoteReference w:id="3"/>
      </w:r>
      <w:r w:rsidR="00E42A0F" w:rsidRPr="0024768B">
        <w:rPr>
          <w:rFonts w:ascii="Arial" w:hAnsi="Arial" w:cs="Arial"/>
          <w:sz w:val="22"/>
          <w:szCs w:val="22"/>
          <w:lang w:val="en-GB"/>
        </w:rPr>
        <w:t>)</w:t>
      </w:r>
      <w:r>
        <w:rPr>
          <w:rFonts w:ascii="Arial" w:hAnsi="Arial" w:cs="Arial"/>
          <w:sz w:val="22"/>
          <w:szCs w:val="22"/>
          <w:lang w:val="en-GB"/>
        </w:rPr>
        <w:t>.</w:t>
      </w:r>
      <w:r w:rsidR="00E42A0F" w:rsidRPr="0024768B">
        <w:rPr>
          <w:rFonts w:ascii="Arial" w:hAnsi="Arial" w:cs="Arial"/>
          <w:sz w:val="22"/>
          <w:szCs w:val="22"/>
          <w:lang w:val="en-GB"/>
        </w:rPr>
        <w:t xml:space="preserve"> </w:t>
      </w:r>
      <w:r w:rsidR="00381FBA" w:rsidRPr="0024768B">
        <w:rPr>
          <w:rFonts w:ascii="Arial" w:hAnsi="Arial" w:cs="Arial"/>
          <w:sz w:val="22"/>
          <w:szCs w:val="22"/>
          <w:lang w:val="en-GB"/>
        </w:rPr>
        <w:t>For</w:t>
      </w:r>
      <w:r w:rsidR="00E42A0F" w:rsidRPr="0024768B">
        <w:rPr>
          <w:rFonts w:ascii="Arial" w:hAnsi="Arial" w:cs="Arial"/>
          <w:sz w:val="22"/>
          <w:szCs w:val="22"/>
          <w:lang w:val="en-GB"/>
        </w:rPr>
        <w:t xml:space="preserve"> </w:t>
      </w:r>
      <w:r w:rsidR="00C576BA" w:rsidRPr="0024768B">
        <w:rPr>
          <w:rFonts w:ascii="Arial" w:hAnsi="Arial" w:cs="Arial"/>
          <w:sz w:val="22"/>
          <w:szCs w:val="22"/>
          <w:lang w:val="en-GB"/>
        </w:rPr>
        <w:t xml:space="preserve">the </w:t>
      </w:r>
      <w:r w:rsidR="00F343F3">
        <w:rPr>
          <w:rFonts w:ascii="Arial" w:hAnsi="Arial" w:cs="Arial"/>
          <w:sz w:val="22"/>
          <w:szCs w:val="22"/>
          <w:lang w:val="en-GB"/>
        </w:rPr>
        <w:t xml:space="preserve">three </w:t>
      </w:r>
      <w:r w:rsidR="00C576BA" w:rsidRPr="0024768B">
        <w:rPr>
          <w:rFonts w:ascii="Arial" w:hAnsi="Arial" w:cs="Arial"/>
          <w:sz w:val="22"/>
          <w:szCs w:val="22"/>
          <w:lang w:val="en-GB"/>
        </w:rPr>
        <w:t>recommendations</w:t>
      </w:r>
      <w:r w:rsidR="00D863C9" w:rsidRPr="0024768B">
        <w:rPr>
          <w:rFonts w:ascii="Arial" w:hAnsi="Arial" w:cs="Arial"/>
          <w:sz w:val="22"/>
          <w:szCs w:val="22"/>
          <w:lang w:val="en-GB"/>
        </w:rPr>
        <w:t>,</w:t>
      </w:r>
      <w:r w:rsidR="004B65C0" w:rsidRPr="0024768B">
        <w:rPr>
          <w:rFonts w:ascii="Arial" w:hAnsi="Arial" w:cs="Arial"/>
          <w:sz w:val="22"/>
          <w:szCs w:val="22"/>
          <w:lang w:val="en-GB"/>
        </w:rPr>
        <w:t xml:space="preserve"> </w:t>
      </w:r>
      <w:r w:rsidR="00BE3A06" w:rsidRPr="0024768B">
        <w:rPr>
          <w:rFonts w:ascii="Arial" w:hAnsi="Arial" w:cs="Arial"/>
          <w:sz w:val="22"/>
          <w:szCs w:val="22"/>
          <w:lang w:val="en-GB"/>
        </w:rPr>
        <w:t xml:space="preserve">the Forum noted </w:t>
      </w:r>
      <w:r w:rsidR="004B65C0" w:rsidRPr="0024768B">
        <w:rPr>
          <w:rFonts w:ascii="Arial" w:hAnsi="Arial" w:cs="Arial"/>
          <w:sz w:val="22"/>
          <w:szCs w:val="22"/>
          <w:lang w:val="en-GB"/>
        </w:rPr>
        <w:t xml:space="preserve">that the proposed changes to </w:t>
      </w:r>
      <w:r w:rsidR="00D863C9" w:rsidRPr="0024768B">
        <w:rPr>
          <w:rFonts w:ascii="Arial" w:hAnsi="Arial" w:cs="Arial"/>
          <w:sz w:val="22"/>
          <w:szCs w:val="22"/>
          <w:lang w:val="en-GB"/>
        </w:rPr>
        <w:t>labelling</w:t>
      </w:r>
      <w:r w:rsidR="004B65C0" w:rsidRPr="0024768B">
        <w:rPr>
          <w:rFonts w:ascii="Arial" w:hAnsi="Arial" w:cs="Arial"/>
          <w:sz w:val="22"/>
          <w:szCs w:val="22"/>
          <w:lang w:val="en-GB"/>
        </w:rPr>
        <w:t xml:space="preserve"> requirements are very technical in nature and, as such, require further work to fully investigate and characterise the issues involved. </w:t>
      </w:r>
      <w:r w:rsidR="00B0402C">
        <w:rPr>
          <w:rFonts w:ascii="Arial" w:hAnsi="Arial" w:cs="Arial"/>
          <w:sz w:val="22"/>
          <w:szCs w:val="22"/>
          <w:lang w:val="en-GB"/>
        </w:rPr>
        <w:t>The</w:t>
      </w:r>
      <w:r w:rsidR="00B0402C" w:rsidRPr="0024768B">
        <w:rPr>
          <w:rFonts w:ascii="Arial" w:hAnsi="Arial" w:cs="Arial"/>
          <w:sz w:val="22"/>
          <w:szCs w:val="22"/>
          <w:lang w:val="en-GB"/>
        </w:rPr>
        <w:t xml:space="preserve"> Forum also </w:t>
      </w:r>
      <w:r w:rsidR="007A4FF0">
        <w:rPr>
          <w:rFonts w:ascii="Arial" w:hAnsi="Arial" w:cs="Arial"/>
          <w:sz w:val="22"/>
          <w:szCs w:val="22"/>
          <w:lang w:val="en-GB"/>
        </w:rPr>
        <w:t xml:space="preserve">specifically </w:t>
      </w:r>
      <w:r w:rsidR="00B0402C" w:rsidRPr="0024768B">
        <w:rPr>
          <w:rFonts w:ascii="Arial" w:hAnsi="Arial" w:cs="Arial"/>
          <w:sz w:val="22"/>
          <w:szCs w:val="22"/>
          <w:lang w:val="en-GB"/>
        </w:rPr>
        <w:t xml:space="preserve">noted that some industry stakeholders have concerns about the scientific basis and technical feasibility of distinguishing between </w:t>
      </w:r>
      <w:r w:rsidR="00B0402C" w:rsidRPr="00F17A38">
        <w:rPr>
          <w:rFonts w:ascii="Arial" w:hAnsi="Arial" w:cs="Arial"/>
          <w:sz w:val="22"/>
          <w:szCs w:val="22"/>
          <w:lang w:val="en-GB"/>
        </w:rPr>
        <w:t>naturally occurring</w:t>
      </w:r>
      <w:r w:rsidR="00B0402C" w:rsidRPr="0024768B">
        <w:rPr>
          <w:rFonts w:ascii="Arial" w:hAnsi="Arial" w:cs="Arial"/>
          <w:sz w:val="22"/>
          <w:szCs w:val="22"/>
          <w:lang w:val="en-GB"/>
        </w:rPr>
        <w:t xml:space="preserve"> fibre and other fibre on the food label</w:t>
      </w:r>
      <w:r w:rsidR="00B0402C">
        <w:rPr>
          <w:rFonts w:ascii="Arial" w:hAnsi="Arial" w:cs="Arial"/>
          <w:sz w:val="22"/>
          <w:szCs w:val="22"/>
          <w:lang w:val="en-GB"/>
        </w:rPr>
        <w:t>.</w:t>
      </w:r>
    </w:p>
    <w:p w:rsidR="00B0402C" w:rsidRDefault="00B0402C" w:rsidP="004B65C0">
      <w:pPr>
        <w:pStyle w:val="Default"/>
        <w:rPr>
          <w:rFonts w:ascii="Arial" w:hAnsi="Arial" w:cs="Arial"/>
          <w:sz w:val="22"/>
          <w:szCs w:val="22"/>
          <w:lang w:val="en-GB"/>
        </w:rPr>
      </w:pPr>
    </w:p>
    <w:p w:rsidR="00B0402C" w:rsidRDefault="004B65C0" w:rsidP="0017108A">
      <w:pPr>
        <w:pStyle w:val="Default"/>
        <w:rPr>
          <w:rFonts w:ascii="Arial" w:hAnsi="Arial" w:cs="Arial"/>
          <w:sz w:val="22"/>
          <w:szCs w:val="22"/>
          <w:lang w:val="en-GB"/>
        </w:rPr>
      </w:pPr>
      <w:r w:rsidRPr="0024768B">
        <w:rPr>
          <w:rFonts w:ascii="Arial" w:hAnsi="Arial" w:cs="Arial"/>
          <w:b/>
          <w:sz w:val="22"/>
          <w:szCs w:val="22"/>
          <w:lang w:val="en-GB"/>
        </w:rPr>
        <w:t xml:space="preserve">The Forum therefore </w:t>
      </w:r>
      <w:r w:rsidR="00B0402C">
        <w:rPr>
          <w:rFonts w:ascii="Arial" w:hAnsi="Arial" w:cs="Arial"/>
          <w:b/>
          <w:sz w:val="22"/>
          <w:szCs w:val="22"/>
          <w:lang w:val="en-GB"/>
        </w:rPr>
        <w:t xml:space="preserve">asked </w:t>
      </w:r>
      <w:r w:rsidR="007E2526" w:rsidRPr="0024768B">
        <w:rPr>
          <w:rFonts w:ascii="Arial" w:hAnsi="Arial" w:cs="Arial"/>
          <w:b/>
          <w:sz w:val="22"/>
          <w:szCs w:val="22"/>
          <w:lang w:val="en-GB"/>
        </w:rPr>
        <w:t xml:space="preserve">FSANZ </w:t>
      </w:r>
      <w:r w:rsidR="00BE3A06" w:rsidRPr="0024768B">
        <w:rPr>
          <w:rFonts w:ascii="Arial" w:hAnsi="Arial" w:cs="Arial"/>
          <w:b/>
          <w:sz w:val="22"/>
          <w:szCs w:val="22"/>
          <w:lang w:val="en-GB"/>
        </w:rPr>
        <w:t xml:space="preserve">to undertake a </w:t>
      </w:r>
      <w:r w:rsidRPr="0024768B">
        <w:rPr>
          <w:rFonts w:ascii="Arial" w:hAnsi="Arial" w:cs="Arial"/>
          <w:b/>
          <w:sz w:val="22"/>
          <w:szCs w:val="22"/>
          <w:lang w:val="en-GB"/>
        </w:rPr>
        <w:t xml:space="preserve">technical evaluation and </w:t>
      </w:r>
      <w:r w:rsidR="00BE3A06" w:rsidRPr="0024768B">
        <w:rPr>
          <w:rFonts w:ascii="Arial" w:hAnsi="Arial" w:cs="Arial"/>
          <w:b/>
          <w:sz w:val="22"/>
          <w:szCs w:val="22"/>
          <w:lang w:val="en-GB"/>
        </w:rPr>
        <w:t xml:space="preserve">provide </w:t>
      </w:r>
      <w:r w:rsidRPr="0024768B">
        <w:rPr>
          <w:rFonts w:ascii="Arial" w:hAnsi="Arial" w:cs="Arial"/>
          <w:b/>
          <w:sz w:val="22"/>
          <w:szCs w:val="22"/>
          <w:lang w:val="en-GB"/>
        </w:rPr>
        <w:t xml:space="preserve">advice on </w:t>
      </w:r>
      <w:r w:rsidR="00E42A0F" w:rsidRPr="0024768B">
        <w:rPr>
          <w:rFonts w:ascii="Arial" w:hAnsi="Arial" w:cs="Arial"/>
          <w:b/>
          <w:sz w:val="22"/>
          <w:szCs w:val="22"/>
          <w:lang w:val="en-GB"/>
        </w:rPr>
        <w:t xml:space="preserve">the </w:t>
      </w:r>
      <w:r w:rsidRPr="0024768B">
        <w:rPr>
          <w:rFonts w:ascii="Arial" w:hAnsi="Arial" w:cs="Arial"/>
          <w:b/>
          <w:sz w:val="22"/>
          <w:szCs w:val="22"/>
          <w:lang w:val="en-GB"/>
        </w:rPr>
        <w:t>proposed change</w:t>
      </w:r>
      <w:r w:rsidR="00C576BA" w:rsidRPr="0024768B">
        <w:rPr>
          <w:rFonts w:ascii="Arial" w:hAnsi="Arial" w:cs="Arial"/>
          <w:b/>
          <w:sz w:val="22"/>
          <w:szCs w:val="22"/>
          <w:lang w:val="en-GB"/>
        </w:rPr>
        <w:t>s</w:t>
      </w:r>
      <w:r w:rsidRPr="0024768B">
        <w:rPr>
          <w:rFonts w:ascii="Arial" w:hAnsi="Arial" w:cs="Arial"/>
          <w:b/>
          <w:sz w:val="22"/>
          <w:szCs w:val="22"/>
          <w:lang w:val="en-GB"/>
        </w:rPr>
        <w:t xml:space="preserve"> to the </w:t>
      </w:r>
      <w:r w:rsidR="00381FBA" w:rsidRPr="0024768B">
        <w:rPr>
          <w:rFonts w:ascii="Arial" w:hAnsi="Arial" w:cs="Arial"/>
          <w:b/>
          <w:sz w:val="22"/>
          <w:szCs w:val="22"/>
          <w:lang w:val="en-GB"/>
        </w:rPr>
        <w:t xml:space="preserve">ingredient listing and </w:t>
      </w:r>
      <w:r w:rsidRPr="0024768B">
        <w:rPr>
          <w:rFonts w:ascii="Arial" w:hAnsi="Arial" w:cs="Arial"/>
          <w:b/>
          <w:sz w:val="22"/>
          <w:szCs w:val="22"/>
          <w:lang w:val="en-GB"/>
        </w:rPr>
        <w:t>NIP.</w:t>
      </w:r>
      <w:r w:rsidRPr="0024768B">
        <w:rPr>
          <w:rFonts w:ascii="Arial" w:hAnsi="Arial" w:cs="Arial"/>
          <w:sz w:val="22"/>
          <w:szCs w:val="22"/>
          <w:lang w:val="en-GB"/>
        </w:rPr>
        <w:t xml:space="preserve"> </w:t>
      </w:r>
      <w:r w:rsidR="00BE3A06" w:rsidRPr="0024768B">
        <w:rPr>
          <w:rFonts w:ascii="Arial" w:hAnsi="Arial" w:cs="Arial"/>
          <w:sz w:val="22"/>
          <w:szCs w:val="22"/>
          <w:lang w:val="en-GB"/>
        </w:rPr>
        <w:t xml:space="preserve">The </w:t>
      </w:r>
      <w:r w:rsidR="005346A7" w:rsidRPr="0024768B">
        <w:rPr>
          <w:rFonts w:ascii="Arial" w:hAnsi="Arial" w:cs="Arial"/>
          <w:sz w:val="22"/>
          <w:szCs w:val="22"/>
          <w:lang w:val="en-GB"/>
        </w:rPr>
        <w:t xml:space="preserve">Forum indicated that </w:t>
      </w:r>
      <w:r w:rsidR="00B0402C">
        <w:rPr>
          <w:rFonts w:ascii="Arial" w:hAnsi="Arial" w:cs="Arial"/>
          <w:sz w:val="22"/>
          <w:szCs w:val="22"/>
          <w:lang w:val="en-GB"/>
        </w:rPr>
        <w:t xml:space="preserve">the advice </w:t>
      </w:r>
      <w:r w:rsidR="005346A7" w:rsidRPr="0024768B">
        <w:rPr>
          <w:rFonts w:ascii="Arial" w:hAnsi="Arial" w:cs="Arial"/>
          <w:sz w:val="22"/>
          <w:szCs w:val="22"/>
          <w:lang w:val="en-GB"/>
        </w:rPr>
        <w:t xml:space="preserve">from FSANZ </w:t>
      </w:r>
      <w:r w:rsidR="00BE3A06" w:rsidRPr="0024768B">
        <w:rPr>
          <w:rFonts w:ascii="Arial" w:hAnsi="Arial" w:cs="Arial"/>
          <w:sz w:val="22"/>
          <w:szCs w:val="22"/>
          <w:lang w:val="en-GB"/>
        </w:rPr>
        <w:t xml:space="preserve">will assist </w:t>
      </w:r>
      <w:r w:rsidR="005346A7" w:rsidRPr="0024768B">
        <w:rPr>
          <w:rFonts w:ascii="Arial" w:hAnsi="Arial" w:cs="Arial"/>
          <w:sz w:val="22"/>
          <w:szCs w:val="22"/>
          <w:lang w:val="en-GB"/>
        </w:rPr>
        <w:t>in</w:t>
      </w:r>
      <w:r w:rsidR="00BE3A06" w:rsidRPr="0024768B">
        <w:rPr>
          <w:rFonts w:ascii="Arial" w:hAnsi="Arial" w:cs="Arial"/>
          <w:sz w:val="22"/>
          <w:szCs w:val="22"/>
          <w:lang w:val="en-GB"/>
        </w:rPr>
        <w:t xml:space="preserve"> fully consider</w:t>
      </w:r>
      <w:r w:rsidR="005346A7" w:rsidRPr="0024768B">
        <w:rPr>
          <w:rFonts w:ascii="Arial" w:hAnsi="Arial" w:cs="Arial"/>
          <w:sz w:val="22"/>
          <w:szCs w:val="22"/>
          <w:lang w:val="en-GB"/>
        </w:rPr>
        <w:t>ing</w:t>
      </w:r>
      <w:r w:rsidR="00BE3A06" w:rsidRPr="0024768B">
        <w:rPr>
          <w:rFonts w:ascii="Arial" w:hAnsi="Arial" w:cs="Arial"/>
          <w:sz w:val="22"/>
          <w:szCs w:val="22"/>
          <w:lang w:val="en-GB"/>
        </w:rPr>
        <w:t xml:space="preserve"> the expected benefits and cumulative impacts of possible changes </w:t>
      </w:r>
      <w:r w:rsidR="00A77865">
        <w:rPr>
          <w:rFonts w:ascii="Arial" w:hAnsi="Arial" w:cs="Arial"/>
          <w:sz w:val="22"/>
          <w:szCs w:val="22"/>
          <w:lang w:val="en-GB"/>
        </w:rPr>
        <w:t>before</w:t>
      </w:r>
      <w:r w:rsidR="00BE3A06" w:rsidRPr="0024768B">
        <w:rPr>
          <w:rFonts w:ascii="Arial" w:hAnsi="Arial" w:cs="Arial"/>
          <w:sz w:val="22"/>
          <w:szCs w:val="22"/>
          <w:lang w:val="en-GB"/>
        </w:rPr>
        <w:t xml:space="preserve"> </w:t>
      </w:r>
      <w:r w:rsidR="005346A7" w:rsidRPr="0024768B">
        <w:rPr>
          <w:rFonts w:ascii="Arial" w:hAnsi="Arial" w:cs="Arial"/>
          <w:sz w:val="22"/>
          <w:szCs w:val="22"/>
          <w:lang w:val="en-GB"/>
        </w:rPr>
        <w:t>determining if</w:t>
      </w:r>
      <w:r w:rsidR="00BE3A06" w:rsidRPr="0024768B">
        <w:rPr>
          <w:rFonts w:ascii="Arial" w:hAnsi="Arial" w:cs="Arial"/>
          <w:sz w:val="22"/>
          <w:szCs w:val="22"/>
          <w:lang w:val="en-GB"/>
        </w:rPr>
        <w:t xml:space="preserve"> amendments to the </w:t>
      </w:r>
      <w:r w:rsidR="00BE3A06" w:rsidRPr="0024768B">
        <w:rPr>
          <w:rFonts w:ascii="Arial" w:hAnsi="Arial" w:cs="Arial"/>
          <w:i/>
          <w:sz w:val="22"/>
          <w:szCs w:val="22"/>
          <w:lang w:val="en-GB"/>
        </w:rPr>
        <w:t>Australia New Zealand Food Standards Code</w:t>
      </w:r>
      <w:r w:rsidR="00BE3A06" w:rsidRPr="0024768B">
        <w:rPr>
          <w:rFonts w:ascii="Arial" w:hAnsi="Arial" w:cs="Arial"/>
          <w:sz w:val="22"/>
          <w:szCs w:val="22"/>
          <w:lang w:val="en-GB"/>
        </w:rPr>
        <w:t xml:space="preserve"> (the Code)</w:t>
      </w:r>
      <w:r w:rsidR="005346A7" w:rsidRPr="0024768B">
        <w:rPr>
          <w:rFonts w:ascii="Arial" w:hAnsi="Arial" w:cs="Arial"/>
          <w:sz w:val="22"/>
          <w:szCs w:val="22"/>
          <w:lang w:val="en-GB"/>
        </w:rPr>
        <w:t xml:space="preserve"> are required</w:t>
      </w:r>
      <w:r w:rsidR="00BE3A06" w:rsidRPr="0024768B">
        <w:rPr>
          <w:rFonts w:ascii="Arial" w:hAnsi="Arial" w:cs="Arial"/>
          <w:sz w:val="22"/>
          <w:szCs w:val="22"/>
          <w:lang w:val="en-GB"/>
        </w:rPr>
        <w:t>.</w:t>
      </w:r>
      <w:r w:rsidR="00381FBA" w:rsidRPr="0024768B">
        <w:rPr>
          <w:rFonts w:ascii="Arial" w:hAnsi="Arial" w:cs="Arial"/>
          <w:sz w:val="22"/>
          <w:szCs w:val="22"/>
          <w:lang w:val="en-GB"/>
        </w:rPr>
        <w:t xml:space="preserve"> </w:t>
      </w:r>
      <w:r w:rsidR="00F343F3" w:rsidRPr="0024768B">
        <w:rPr>
          <w:rFonts w:ascii="Arial" w:hAnsi="Arial" w:cs="Arial"/>
          <w:sz w:val="22"/>
          <w:szCs w:val="22"/>
          <w:lang w:val="en-GB"/>
        </w:rPr>
        <w:t xml:space="preserve">However, </w:t>
      </w:r>
      <w:r w:rsidR="00F343F3">
        <w:rPr>
          <w:rFonts w:ascii="Arial" w:hAnsi="Arial" w:cs="Arial"/>
          <w:sz w:val="22"/>
          <w:szCs w:val="22"/>
          <w:lang w:val="en-GB"/>
        </w:rPr>
        <w:t>g</w:t>
      </w:r>
      <w:r w:rsidR="00381FBA" w:rsidRPr="0024768B">
        <w:rPr>
          <w:rFonts w:ascii="Arial" w:hAnsi="Arial" w:cs="Arial"/>
          <w:sz w:val="22"/>
          <w:szCs w:val="22"/>
          <w:lang w:val="en-GB"/>
        </w:rPr>
        <w:t xml:space="preserve">iven the diverse nature of the </w:t>
      </w:r>
      <w:r w:rsidR="0017108A" w:rsidRPr="0024768B">
        <w:rPr>
          <w:rFonts w:ascii="Arial" w:hAnsi="Arial" w:cs="Arial"/>
          <w:sz w:val="22"/>
          <w:szCs w:val="22"/>
          <w:lang w:val="en-GB"/>
        </w:rPr>
        <w:t>specific</w:t>
      </w:r>
      <w:r w:rsidR="00381FBA" w:rsidRPr="0024768B">
        <w:rPr>
          <w:rFonts w:ascii="Arial" w:hAnsi="Arial" w:cs="Arial"/>
          <w:sz w:val="22"/>
          <w:szCs w:val="22"/>
          <w:lang w:val="en-GB"/>
        </w:rPr>
        <w:t xml:space="preserve"> issues involved in </w:t>
      </w:r>
      <w:r w:rsidR="0017108A" w:rsidRPr="0024768B">
        <w:rPr>
          <w:rFonts w:ascii="Arial" w:hAnsi="Arial" w:cs="Arial"/>
          <w:sz w:val="22"/>
          <w:szCs w:val="22"/>
          <w:lang w:val="en-GB"/>
        </w:rPr>
        <w:t xml:space="preserve">each of </w:t>
      </w:r>
      <w:r w:rsidR="00381FBA" w:rsidRPr="0024768B">
        <w:rPr>
          <w:rFonts w:ascii="Arial" w:hAnsi="Arial" w:cs="Arial"/>
          <w:sz w:val="22"/>
          <w:szCs w:val="22"/>
          <w:lang w:val="en-GB"/>
        </w:rPr>
        <w:t>these three recommendations, FSANZ has</w:t>
      </w:r>
      <w:r w:rsidR="00815C2D" w:rsidRPr="0024768B">
        <w:rPr>
          <w:rFonts w:ascii="Arial" w:hAnsi="Arial" w:cs="Arial"/>
          <w:sz w:val="22"/>
          <w:szCs w:val="22"/>
          <w:lang w:val="en-GB"/>
        </w:rPr>
        <w:t xml:space="preserve"> </w:t>
      </w:r>
      <w:r w:rsidR="00381FBA" w:rsidRPr="0024768B">
        <w:rPr>
          <w:rFonts w:ascii="Arial" w:hAnsi="Arial" w:cs="Arial"/>
          <w:sz w:val="22"/>
          <w:szCs w:val="22"/>
          <w:lang w:val="en-GB"/>
        </w:rPr>
        <w:t xml:space="preserve">progressed the </w:t>
      </w:r>
      <w:r w:rsidR="00B0402C">
        <w:rPr>
          <w:rFonts w:ascii="Arial" w:hAnsi="Arial" w:cs="Arial"/>
          <w:sz w:val="22"/>
          <w:szCs w:val="22"/>
          <w:lang w:val="en-GB"/>
        </w:rPr>
        <w:t>work</w:t>
      </w:r>
      <w:r w:rsidR="00381FBA" w:rsidRPr="0024768B">
        <w:rPr>
          <w:rFonts w:ascii="Arial" w:hAnsi="Arial" w:cs="Arial"/>
          <w:sz w:val="22"/>
          <w:szCs w:val="22"/>
          <w:lang w:val="en-GB"/>
        </w:rPr>
        <w:t xml:space="preserve"> on these </w:t>
      </w:r>
      <w:r w:rsidR="00B0402C">
        <w:rPr>
          <w:rFonts w:ascii="Arial" w:hAnsi="Arial" w:cs="Arial"/>
          <w:sz w:val="22"/>
          <w:szCs w:val="22"/>
          <w:lang w:val="en-GB"/>
        </w:rPr>
        <w:t>recommendations</w:t>
      </w:r>
      <w:r w:rsidR="00B0402C" w:rsidRPr="0024768B">
        <w:rPr>
          <w:rFonts w:ascii="Arial" w:hAnsi="Arial" w:cs="Arial"/>
          <w:sz w:val="22"/>
          <w:szCs w:val="22"/>
          <w:lang w:val="en-GB"/>
        </w:rPr>
        <w:t xml:space="preserve"> </w:t>
      </w:r>
      <w:r w:rsidR="00381FBA" w:rsidRPr="0024768B">
        <w:rPr>
          <w:rFonts w:ascii="Arial" w:hAnsi="Arial" w:cs="Arial"/>
          <w:sz w:val="22"/>
          <w:szCs w:val="22"/>
          <w:lang w:val="en-GB"/>
        </w:rPr>
        <w:t xml:space="preserve">separately. </w:t>
      </w:r>
      <w:bookmarkStart w:id="14" w:name="_Toc374540816"/>
    </w:p>
    <w:p w:rsidR="00B53598" w:rsidRDefault="00B53598">
      <w:pPr>
        <w:widowControl/>
        <w:rPr>
          <w:b/>
          <w:bCs/>
          <w:color w:val="17365D" w:themeColor="text2" w:themeShade="BF"/>
          <w:lang w:eastAsia="en-AU" w:bidi="ar-SA"/>
        </w:rPr>
      </w:pPr>
      <w:r>
        <w:br w:type="page"/>
      </w:r>
    </w:p>
    <w:p w:rsidR="00B53598" w:rsidRPr="0024768B" w:rsidRDefault="00B53598" w:rsidP="005802A5">
      <w:pPr>
        <w:pStyle w:val="Heading2"/>
      </w:pPr>
      <w:bookmarkStart w:id="15" w:name="_Toc379448905"/>
      <w:r w:rsidRPr="0024768B">
        <w:lastRenderedPageBreak/>
        <w:t>1.</w:t>
      </w:r>
      <w:r w:rsidR="005802A5">
        <w:t>3</w:t>
      </w:r>
      <w:r w:rsidRPr="0024768B">
        <w:tab/>
        <w:t>Australia</w:t>
      </w:r>
      <w:r w:rsidR="005802A5">
        <w:t>n</w:t>
      </w:r>
      <w:r w:rsidRPr="0024768B">
        <w:t xml:space="preserve"> and New Zealand</w:t>
      </w:r>
      <w:r w:rsidR="005802A5">
        <w:t xml:space="preserve"> </w:t>
      </w:r>
      <w:r w:rsidR="0034660F">
        <w:t xml:space="preserve">food labelling </w:t>
      </w:r>
      <w:r w:rsidR="005802A5">
        <w:t>requirements for declaring dietary fibre</w:t>
      </w:r>
      <w:bookmarkEnd w:id="15"/>
    </w:p>
    <w:p w:rsidR="00B53598" w:rsidRPr="0024768B" w:rsidRDefault="00B53598" w:rsidP="00B53598">
      <w:pPr>
        <w:rPr>
          <w:rFonts w:cs="Arial"/>
          <w:i/>
        </w:rPr>
      </w:pPr>
      <w:r w:rsidRPr="0024768B">
        <w:rPr>
          <w:rFonts w:cs="Arial"/>
        </w:rPr>
        <w:t xml:space="preserve">Standard 1.2.8 </w:t>
      </w:r>
      <w:r w:rsidRPr="0024768B">
        <w:rPr>
          <w:rFonts w:cs="Arial"/>
          <w:szCs w:val="22"/>
        </w:rPr>
        <w:t>– Nutrition Information Requirements of the Code</w:t>
      </w:r>
      <w:r w:rsidRPr="0024768B">
        <w:rPr>
          <w:rFonts w:cs="Arial"/>
        </w:rPr>
        <w:t xml:space="preserve"> defines dietary fibre as </w:t>
      </w:r>
      <w:r w:rsidRPr="0024768B">
        <w:rPr>
          <w:rFonts w:cs="Arial"/>
          <w:i/>
        </w:rPr>
        <w:t>that fraction of the edible part of plants or their extracts, or synthetic analogues that –</w:t>
      </w:r>
    </w:p>
    <w:p w:rsidR="00B53598" w:rsidRPr="0024768B" w:rsidRDefault="00B53598" w:rsidP="00B53598">
      <w:pPr>
        <w:rPr>
          <w:rFonts w:cs="Arial"/>
          <w:i/>
        </w:rPr>
      </w:pPr>
    </w:p>
    <w:p w:rsidR="00B53598" w:rsidRPr="0024768B" w:rsidRDefault="00B53598" w:rsidP="00B53598">
      <w:pPr>
        <w:ind w:left="720" w:hanging="720"/>
        <w:rPr>
          <w:rFonts w:cs="Arial"/>
          <w:i/>
        </w:rPr>
      </w:pPr>
      <w:r w:rsidRPr="0024768B">
        <w:rPr>
          <w:rFonts w:cs="Arial"/>
          <w:i/>
        </w:rPr>
        <w:t xml:space="preserve">(a) </w:t>
      </w:r>
      <w:r w:rsidRPr="0024768B">
        <w:rPr>
          <w:rFonts w:cs="Arial"/>
          <w:i/>
        </w:rPr>
        <w:tab/>
        <w:t>are resistant to the digestion and absorption in the small intestine, usually with complete or partial fermentation in the large intestine; and</w:t>
      </w:r>
    </w:p>
    <w:p w:rsidR="00B53598" w:rsidRPr="0024768B" w:rsidRDefault="00B53598" w:rsidP="00B53598">
      <w:pPr>
        <w:ind w:left="720" w:hanging="720"/>
        <w:rPr>
          <w:rFonts w:cs="Arial"/>
          <w:i/>
        </w:rPr>
      </w:pPr>
      <w:r w:rsidRPr="0024768B">
        <w:rPr>
          <w:rFonts w:cs="Arial"/>
          <w:i/>
        </w:rPr>
        <w:t xml:space="preserve">(b) </w:t>
      </w:r>
      <w:r w:rsidRPr="0024768B">
        <w:rPr>
          <w:rFonts w:cs="Arial"/>
          <w:i/>
        </w:rPr>
        <w:tab/>
        <w:t>promote one or more of the following beneficial physiological effects –</w:t>
      </w:r>
    </w:p>
    <w:p w:rsidR="00B53598" w:rsidRPr="0024768B" w:rsidRDefault="00B53598" w:rsidP="00B53598">
      <w:pPr>
        <w:ind w:left="709"/>
        <w:rPr>
          <w:rFonts w:cs="Arial"/>
          <w:i/>
        </w:rPr>
      </w:pPr>
      <w:r w:rsidRPr="0024768B">
        <w:rPr>
          <w:rFonts w:cs="Arial"/>
          <w:i/>
        </w:rPr>
        <w:t>(i)   laxation;</w:t>
      </w:r>
    </w:p>
    <w:p w:rsidR="00B53598" w:rsidRPr="0024768B" w:rsidRDefault="00B53598" w:rsidP="00B53598">
      <w:pPr>
        <w:ind w:left="709"/>
        <w:rPr>
          <w:rFonts w:cs="Arial"/>
          <w:i/>
        </w:rPr>
      </w:pPr>
      <w:r w:rsidRPr="0024768B">
        <w:rPr>
          <w:rFonts w:cs="Arial"/>
          <w:i/>
        </w:rPr>
        <w:t>(ii)  reduction in blood cholesterol;</w:t>
      </w:r>
    </w:p>
    <w:p w:rsidR="00B53598" w:rsidRPr="0024768B" w:rsidRDefault="00B53598" w:rsidP="00B53598">
      <w:pPr>
        <w:ind w:left="709"/>
        <w:rPr>
          <w:rFonts w:cs="Arial"/>
          <w:i/>
        </w:rPr>
      </w:pPr>
      <w:r w:rsidRPr="0024768B">
        <w:rPr>
          <w:rFonts w:cs="Arial"/>
          <w:i/>
        </w:rPr>
        <w:t>(iii) modulation of blood glucose;</w:t>
      </w:r>
    </w:p>
    <w:p w:rsidR="00B53598" w:rsidRPr="0024768B" w:rsidRDefault="00B53598" w:rsidP="00B53598">
      <w:pPr>
        <w:rPr>
          <w:rFonts w:cs="Arial"/>
          <w:i/>
        </w:rPr>
      </w:pPr>
    </w:p>
    <w:p w:rsidR="00B53598" w:rsidRPr="0024768B" w:rsidRDefault="00B53598" w:rsidP="00B53598">
      <w:pPr>
        <w:rPr>
          <w:rFonts w:cs="Arial"/>
        </w:rPr>
      </w:pPr>
      <w:r w:rsidRPr="0024768B">
        <w:rPr>
          <w:rFonts w:cs="Arial"/>
          <w:i/>
        </w:rPr>
        <w:t>and includes polysaccharides, oligosaccharides (degree of polymerisation &gt; 2) and lignins.</w:t>
      </w:r>
    </w:p>
    <w:p w:rsidR="00B53598" w:rsidRPr="0024768B" w:rsidRDefault="00B53598" w:rsidP="00B53598">
      <w:pPr>
        <w:rPr>
          <w:rFonts w:cs="Arial"/>
          <w:szCs w:val="22"/>
        </w:rPr>
      </w:pPr>
    </w:p>
    <w:p w:rsidR="00B53598" w:rsidRPr="0024768B" w:rsidRDefault="00B53598" w:rsidP="00B53598">
      <w:pPr>
        <w:rPr>
          <w:rFonts w:cs="Arial"/>
        </w:rPr>
      </w:pPr>
      <w:r w:rsidRPr="0024768B">
        <w:rPr>
          <w:rFonts w:cs="Arial"/>
          <w:szCs w:val="22"/>
        </w:rPr>
        <w:t xml:space="preserve">Standard 1.2.8 also </w:t>
      </w:r>
      <w:r w:rsidRPr="0024768B">
        <w:rPr>
          <w:rFonts w:cs="Arial"/>
        </w:rPr>
        <w:t>sets out the nutrition information requirements, including the requirement for an NIP in a prescribed format (except where exempt), on food labels. Currently</w:t>
      </w:r>
      <w:r w:rsidR="00A97285">
        <w:rPr>
          <w:rFonts w:cs="Arial"/>
        </w:rPr>
        <w:t>,</w:t>
      </w:r>
      <w:r w:rsidRPr="0024768B">
        <w:rPr>
          <w:rFonts w:cs="Arial"/>
        </w:rPr>
        <w:t xml:space="preserve"> the average energy content and average quantity of protein, total fat, saturated fat, carbohydrate, sugars and sodium in a food</w:t>
      </w:r>
      <w:r>
        <w:rPr>
          <w:rFonts w:cs="Arial"/>
        </w:rPr>
        <w:t xml:space="preserve"> (per 100 g or ml and per serving)</w:t>
      </w:r>
      <w:r w:rsidRPr="0024768B">
        <w:rPr>
          <w:rFonts w:cs="Arial"/>
        </w:rPr>
        <w:t xml:space="preserve"> must be declared in the NIP</w:t>
      </w:r>
      <w:r>
        <w:rPr>
          <w:rFonts w:cs="Arial"/>
        </w:rPr>
        <w:t xml:space="preserve"> </w:t>
      </w:r>
    </w:p>
    <w:p w:rsidR="00B53598" w:rsidRPr="0024768B" w:rsidRDefault="00B53598" w:rsidP="00B53598">
      <w:pPr>
        <w:widowControl/>
        <w:rPr>
          <w:rFonts w:cs="Arial"/>
        </w:rPr>
      </w:pPr>
    </w:p>
    <w:p w:rsidR="00B53598" w:rsidRPr="0024768B" w:rsidRDefault="00B53598" w:rsidP="00B53598">
      <w:r w:rsidRPr="0024768B">
        <w:rPr>
          <w:rFonts w:cs="Arial"/>
          <w:szCs w:val="22"/>
        </w:rPr>
        <w:t xml:space="preserve">The </w:t>
      </w:r>
      <w:r w:rsidR="00C66439">
        <w:rPr>
          <w:rFonts w:cs="Arial"/>
          <w:szCs w:val="22"/>
        </w:rPr>
        <w:t>d</w:t>
      </w:r>
      <w:r w:rsidRPr="0024768B">
        <w:rPr>
          <w:rFonts w:cs="Arial"/>
          <w:szCs w:val="22"/>
        </w:rPr>
        <w:t>eclaration of total dietary fibre in the NIP is not</w:t>
      </w:r>
      <w:r>
        <w:rPr>
          <w:rFonts w:cs="Arial"/>
          <w:szCs w:val="22"/>
        </w:rPr>
        <w:t xml:space="preserve"> mandatory</w:t>
      </w:r>
      <w:r w:rsidRPr="0024768B">
        <w:rPr>
          <w:rFonts w:cs="Arial"/>
          <w:szCs w:val="22"/>
        </w:rPr>
        <w:t xml:space="preserve">, </w:t>
      </w:r>
      <w:r w:rsidRPr="0024768B">
        <w:t xml:space="preserve">unless claims are made </w:t>
      </w:r>
      <w:r>
        <w:t>about dietary</w:t>
      </w:r>
      <w:r w:rsidRPr="0024768B">
        <w:t xml:space="preserve"> fibre, any specifically named fibre, sugars or any other types of carbohydrate.</w:t>
      </w:r>
      <w:r>
        <w:t xml:space="preserve"> </w:t>
      </w:r>
      <w:r w:rsidRPr="0024768B">
        <w:t>If dietary fibre content values are declared in the NIP, then they must be determined in accordance with the methods of analysis for dietary fibre that are listed in Standard 1.2.8.</w:t>
      </w:r>
    </w:p>
    <w:p w:rsidR="00B53598" w:rsidRPr="0024768B" w:rsidRDefault="00B53598" w:rsidP="00B53598"/>
    <w:p w:rsidR="00B53598" w:rsidRPr="0024768B" w:rsidRDefault="00B53598" w:rsidP="00B53598">
      <w:r w:rsidRPr="0024768B">
        <w:t>Standard 1.2.7 – Nutrition, Health and Related Claims sets out the conditions for making nutrition content claims, including claims about dietary fibre. In addition, subclause 25(2) of Standard 1.2.7 requires the declaration of dietary fibre content in the NIP where a food relies upon dietary fibre to meet the Nutrient Profiling Scoring Criterion (NSPC). To be eligible to make a health claim and certain nutrition content claims, a food must meet the NPSC.</w:t>
      </w:r>
    </w:p>
    <w:p w:rsidR="00B53598" w:rsidRPr="0024768B" w:rsidRDefault="00B53598" w:rsidP="00B53598"/>
    <w:p w:rsidR="000A180B" w:rsidRDefault="00A77865" w:rsidP="000A180B">
      <w:r>
        <w:t>Including</w:t>
      </w:r>
      <w:r w:rsidR="00B53598" w:rsidRPr="0024768B">
        <w:t xml:space="preserve"> a declaration in the NIP which is not mandatory is considered a nutrition content claim. However, Clause 19 of Standard 1.2.8 provides permission for dietary fibre to be declared voluntarily in the NIP, without the requirement to meet the nutrition content claim qualifying criteria as set out in Standard 1.2.7. This means that dietary fibre can be voluntarily declared when the dietary fibre content of a food is </w:t>
      </w:r>
      <w:r w:rsidR="00B53598" w:rsidRPr="0024768B">
        <w:rPr>
          <w:rFonts w:cs="Arial"/>
        </w:rPr>
        <w:t xml:space="preserve">less than the qualifying criteria of 2 g/serving for a </w:t>
      </w:r>
      <w:r w:rsidR="00B53598" w:rsidRPr="0024768B">
        <w:rPr>
          <w:rFonts w:cs="Arial"/>
          <w:i/>
        </w:rPr>
        <w:t>source</w:t>
      </w:r>
      <w:r w:rsidR="00B53598" w:rsidRPr="0024768B">
        <w:rPr>
          <w:rFonts w:cs="Arial"/>
        </w:rPr>
        <w:t xml:space="preserve"> claim.</w:t>
      </w:r>
      <w:r w:rsidR="009C3E64">
        <w:rPr>
          <w:rFonts w:cs="Arial"/>
        </w:rPr>
        <w:t xml:space="preserve"> The implementation of</w:t>
      </w:r>
      <w:r w:rsidR="009C3E64">
        <w:t xml:space="preserve"> </w:t>
      </w:r>
      <w:r w:rsidR="00B53598" w:rsidRPr="0024768B">
        <w:t xml:space="preserve">Standard 1.2.7 is </w:t>
      </w:r>
      <w:r w:rsidR="009C3E64">
        <w:t xml:space="preserve">currently </w:t>
      </w:r>
      <w:r w:rsidR="00B53598" w:rsidRPr="0024768B">
        <w:t xml:space="preserve">in a three year transition period until January 2016. </w:t>
      </w:r>
      <w:bookmarkStart w:id="16" w:name="_Toc374540818"/>
    </w:p>
    <w:p w:rsidR="00BB57B4" w:rsidRPr="000A180B" w:rsidRDefault="00BB57B4" w:rsidP="000A180B">
      <w:pPr>
        <w:pStyle w:val="Heading1"/>
        <w:rPr>
          <w:rFonts w:cs="Arial"/>
          <w:sz w:val="28"/>
          <w:szCs w:val="22"/>
        </w:rPr>
      </w:pPr>
      <w:bookmarkStart w:id="17" w:name="_Toc379448906"/>
      <w:r w:rsidRPr="0024768B">
        <w:t>2.</w:t>
      </w:r>
      <w:r w:rsidRPr="0024768B">
        <w:tab/>
        <w:t>Objectives and approach</w:t>
      </w:r>
      <w:bookmarkEnd w:id="16"/>
      <w:bookmarkEnd w:id="17"/>
      <w:r w:rsidRPr="0024768B">
        <w:tab/>
      </w:r>
    </w:p>
    <w:p w:rsidR="00BB57B4" w:rsidRPr="0024768B" w:rsidRDefault="00C66439" w:rsidP="00BB57B4">
      <w:r>
        <w:rPr>
          <w:rFonts w:cs="Arial"/>
          <w:szCs w:val="22"/>
        </w:rPr>
        <w:t xml:space="preserve">As the </w:t>
      </w:r>
      <w:r w:rsidR="00D03C2F">
        <w:rPr>
          <w:rFonts w:cs="Arial"/>
          <w:szCs w:val="22"/>
        </w:rPr>
        <w:t>government response</w:t>
      </w:r>
      <w:r>
        <w:rPr>
          <w:rFonts w:cs="Arial"/>
          <w:szCs w:val="22"/>
        </w:rPr>
        <w:t xml:space="preserve"> to Recommendation 14 </w:t>
      </w:r>
      <w:r w:rsidR="007A4FF0">
        <w:rPr>
          <w:rFonts w:cs="Arial"/>
          <w:szCs w:val="22"/>
        </w:rPr>
        <w:t xml:space="preserve">specifically </w:t>
      </w:r>
      <w:r>
        <w:rPr>
          <w:rFonts w:cs="Arial"/>
          <w:szCs w:val="22"/>
        </w:rPr>
        <w:t xml:space="preserve">focussed </w:t>
      </w:r>
      <w:r w:rsidR="00D03C2F">
        <w:rPr>
          <w:rFonts w:cs="Arial"/>
          <w:szCs w:val="22"/>
        </w:rPr>
        <w:t>on naturally occurring dietary fibre, t</w:t>
      </w:r>
      <w:r w:rsidR="00BB57B4" w:rsidRPr="0024768B">
        <w:rPr>
          <w:rFonts w:cs="Arial"/>
          <w:szCs w:val="22"/>
        </w:rPr>
        <w:t xml:space="preserve">he </w:t>
      </w:r>
      <w:r w:rsidR="00567245">
        <w:rPr>
          <w:rFonts w:cs="Arial"/>
          <w:b/>
          <w:szCs w:val="22"/>
        </w:rPr>
        <w:t>primary</w:t>
      </w:r>
      <w:r w:rsidR="00567245">
        <w:rPr>
          <w:rFonts w:cs="Arial"/>
          <w:szCs w:val="22"/>
        </w:rPr>
        <w:t xml:space="preserve"> </w:t>
      </w:r>
      <w:r w:rsidR="00D03C2F">
        <w:rPr>
          <w:rFonts w:cs="Arial"/>
          <w:szCs w:val="22"/>
        </w:rPr>
        <w:t xml:space="preserve">objective </w:t>
      </w:r>
      <w:r>
        <w:rPr>
          <w:rFonts w:cs="Arial"/>
          <w:szCs w:val="22"/>
        </w:rPr>
        <w:t xml:space="preserve">of this project </w:t>
      </w:r>
      <w:r w:rsidR="00BA2141">
        <w:rPr>
          <w:rFonts w:cs="Arial"/>
          <w:szCs w:val="22"/>
        </w:rPr>
        <w:t>was</w:t>
      </w:r>
      <w:r w:rsidR="00BB57B4" w:rsidRPr="0024768B">
        <w:t>:</w:t>
      </w:r>
    </w:p>
    <w:p w:rsidR="00BB57B4" w:rsidRPr="0024768B" w:rsidRDefault="00BB57B4" w:rsidP="00BB57B4">
      <w:pPr>
        <w:rPr>
          <w:rFonts w:cs="Arial"/>
          <w:szCs w:val="22"/>
        </w:rPr>
      </w:pPr>
    </w:p>
    <w:p w:rsidR="00A13FB6" w:rsidRDefault="00A56BE0" w:rsidP="000F3304">
      <w:pPr>
        <w:pStyle w:val="ListParagraph"/>
        <w:numPr>
          <w:ilvl w:val="0"/>
          <w:numId w:val="10"/>
        </w:numPr>
        <w:ind w:left="567" w:hanging="567"/>
        <w:contextualSpacing w:val="0"/>
        <w:rPr>
          <w:lang w:val="en-GB"/>
        </w:rPr>
      </w:pPr>
      <w:r>
        <w:rPr>
          <w:lang w:val="en-GB"/>
        </w:rPr>
        <w:t>To d</w:t>
      </w:r>
      <w:r w:rsidR="00A65C6E" w:rsidRPr="0024768B">
        <w:rPr>
          <w:lang w:val="en-GB"/>
        </w:rPr>
        <w:t>etermine w</w:t>
      </w:r>
      <w:r w:rsidR="00BB57B4" w:rsidRPr="0024768B">
        <w:rPr>
          <w:lang w:val="en-GB"/>
        </w:rPr>
        <w:t xml:space="preserve">hether </w:t>
      </w:r>
      <w:r w:rsidR="005160D8" w:rsidRPr="0024768B">
        <w:rPr>
          <w:lang w:val="en-GB"/>
        </w:rPr>
        <w:t xml:space="preserve">it is </w:t>
      </w:r>
      <w:r w:rsidR="008634AB" w:rsidRPr="0024768B">
        <w:rPr>
          <w:lang w:val="en-GB"/>
        </w:rPr>
        <w:t>practical and feasible to differentiate the naturally occurring dietary fibre content of a food separate to its total dietary fibre content</w:t>
      </w:r>
      <w:r w:rsidR="00BB57B4" w:rsidRPr="0024768B">
        <w:rPr>
          <w:lang w:val="en-GB"/>
        </w:rPr>
        <w:t>.</w:t>
      </w:r>
    </w:p>
    <w:p w:rsidR="00A13FB6" w:rsidRDefault="00A13FB6" w:rsidP="00D03C2F"/>
    <w:p w:rsidR="00D03C2F" w:rsidRDefault="00D03C2F" w:rsidP="00D03C2F">
      <w:r>
        <w:t>Recommendation 14 also makes reference to</w:t>
      </w:r>
      <w:r w:rsidR="000A180B">
        <w:t xml:space="preserve"> the</w:t>
      </w:r>
      <w:r>
        <w:t xml:space="preserve"> </w:t>
      </w:r>
      <w:r w:rsidR="00567245">
        <w:t xml:space="preserve">declaration of </w:t>
      </w:r>
      <w:r>
        <w:t xml:space="preserve">total dietary fibre, </w:t>
      </w:r>
      <w:r w:rsidR="00BA2141">
        <w:t xml:space="preserve">therefore </w:t>
      </w:r>
      <w:r w:rsidR="00E53A52">
        <w:t>a</w:t>
      </w:r>
      <w:r>
        <w:t xml:space="preserve"> </w:t>
      </w:r>
      <w:r w:rsidRPr="00D03C2F">
        <w:rPr>
          <w:b/>
        </w:rPr>
        <w:t>secondary</w:t>
      </w:r>
      <w:r>
        <w:t xml:space="preserve"> objective was:</w:t>
      </w:r>
    </w:p>
    <w:p w:rsidR="00D03C2F" w:rsidRPr="00D03C2F" w:rsidRDefault="00D03C2F" w:rsidP="00D03C2F"/>
    <w:p w:rsidR="00BB57B4" w:rsidRPr="00A13FB6" w:rsidRDefault="00A56BE0" w:rsidP="000F3304">
      <w:pPr>
        <w:pStyle w:val="ListParagraph"/>
        <w:numPr>
          <w:ilvl w:val="0"/>
          <w:numId w:val="10"/>
        </w:numPr>
        <w:ind w:left="567" w:hanging="567"/>
        <w:contextualSpacing w:val="0"/>
        <w:rPr>
          <w:lang w:val="en-GB"/>
        </w:rPr>
      </w:pPr>
      <w:r>
        <w:t xml:space="preserve">To </w:t>
      </w:r>
      <w:r w:rsidR="0034660F">
        <w:t>consider</w:t>
      </w:r>
      <w:r w:rsidR="00BA2141">
        <w:t xml:space="preserve"> issues associated with</w:t>
      </w:r>
      <w:r w:rsidR="00BA2141" w:rsidRPr="0024768B">
        <w:t xml:space="preserve"> </w:t>
      </w:r>
      <w:r w:rsidR="00BB57B4" w:rsidRPr="0024768B">
        <w:t xml:space="preserve">mandating the declaration of total dietary fibre content </w:t>
      </w:r>
      <w:r>
        <w:t>in the NIP</w:t>
      </w:r>
      <w:r w:rsidR="00A77865">
        <w:t>.</w:t>
      </w:r>
      <w:r w:rsidR="00BB57B4" w:rsidRPr="0024768B">
        <w:t xml:space="preserve"> </w:t>
      </w:r>
    </w:p>
    <w:p w:rsidR="000F3304" w:rsidRDefault="000F3304" w:rsidP="00BB57B4">
      <w:pPr>
        <w:rPr>
          <w:rFonts w:cs="Arial"/>
          <w:snapToGrid w:val="0"/>
        </w:rPr>
      </w:pPr>
    </w:p>
    <w:p w:rsidR="001C6BF7" w:rsidRDefault="001C6BF7">
      <w:pPr>
        <w:widowControl/>
        <w:rPr>
          <w:rFonts w:cs="Arial"/>
          <w:snapToGrid w:val="0"/>
        </w:rPr>
      </w:pPr>
      <w:r>
        <w:rPr>
          <w:rFonts w:cs="Arial"/>
          <w:snapToGrid w:val="0"/>
        </w:rPr>
        <w:br w:type="page"/>
      </w:r>
    </w:p>
    <w:p w:rsidR="00BB57B4" w:rsidRPr="0024768B" w:rsidRDefault="00BB57B4" w:rsidP="00BB57B4">
      <w:pPr>
        <w:rPr>
          <w:rFonts w:cs="Arial"/>
          <w:snapToGrid w:val="0"/>
        </w:rPr>
      </w:pPr>
      <w:r w:rsidRPr="0024768B">
        <w:rPr>
          <w:rFonts w:cs="Arial"/>
          <w:snapToGrid w:val="0"/>
        </w:rPr>
        <w:lastRenderedPageBreak/>
        <w:t>In addressing these objectives, FSANZ has:</w:t>
      </w:r>
    </w:p>
    <w:p w:rsidR="001C20F0" w:rsidRPr="0024768B" w:rsidRDefault="001C20F0" w:rsidP="001C20F0">
      <w:pPr>
        <w:pStyle w:val="FSBullet1"/>
        <w:spacing w:before="120"/>
      </w:pPr>
      <w:bookmarkStart w:id="18" w:name="_Toc374540819"/>
      <w:bookmarkStart w:id="19" w:name="_Toc11735630"/>
      <w:bookmarkStart w:id="20" w:name="_Toc29883114"/>
      <w:bookmarkStart w:id="21" w:name="_Toc41906801"/>
      <w:bookmarkStart w:id="22" w:name="_Toc41907548"/>
      <w:bookmarkStart w:id="23" w:name="_Toc120358578"/>
      <w:bookmarkStart w:id="24" w:name="_Toc175381435"/>
      <w:bookmarkEnd w:id="5"/>
      <w:bookmarkEnd w:id="6"/>
      <w:bookmarkEnd w:id="7"/>
      <w:bookmarkEnd w:id="8"/>
      <w:bookmarkEnd w:id="9"/>
      <w:bookmarkEnd w:id="14"/>
      <w:r w:rsidRPr="0024768B">
        <w:t>conducted a scientific and technical assessment considering the types of dietary fibre in food, analytical and alternative techniques for estimating levels of natural</w:t>
      </w:r>
      <w:r w:rsidR="002A504B">
        <w:t>ly occurring</w:t>
      </w:r>
      <w:r w:rsidRPr="0024768B">
        <w:t xml:space="preserve"> versus total dietary fibre, and the physiological effects of</w:t>
      </w:r>
      <w:r w:rsidR="00CD4BBE">
        <w:t xml:space="preserve"> different types of</w:t>
      </w:r>
      <w:r w:rsidRPr="0024768B">
        <w:t xml:space="preserve"> </w:t>
      </w:r>
      <w:r w:rsidR="00FB2DA0">
        <w:t>dietary fibre</w:t>
      </w:r>
      <w:r w:rsidR="0034660F">
        <w:t>.</w:t>
      </w:r>
    </w:p>
    <w:p w:rsidR="00314700" w:rsidRPr="0024768B" w:rsidDel="005E3AF0" w:rsidRDefault="00314700" w:rsidP="00314700">
      <w:pPr>
        <w:pStyle w:val="FSBullet1"/>
        <w:spacing w:before="120"/>
      </w:pPr>
      <w:r w:rsidDel="005E3AF0">
        <w:t>compared</w:t>
      </w:r>
      <w:r w:rsidRPr="0024768B" w:rsidDel="005E3AF0">
        <w:t xml:space="preserve"> the current requirements and permissions in the Code for providing label information on the dietary fibre content of food</w:t>
      </w:r>
      <w:r w:rsidDel="005E3AF0">
        <w:t xml:space="preserve"> to those of overseas food regulations</w:t>
      </w:r>
    </w:p>
    <w:p w:rsidR="001C20F0" w:rsidRPr="00A97B0F" w:rsidRDefault="00567245" w:rsidP="001C20F0">
      <w:pPr>
        <w:pStyle w:val="FSBullet1"/>
        <w:spacing w:before="120"/>
        <w:rPr>
          <w:snapToGrid w:val="0"/>
        </w:rPr>
      </w:pPr>
      <w:r>
        <w:t>undertaken preliminary consideration of the impact of</w:t>
      </w:r>
      <w:r w:rsidR="000A180B">
        <w:t xml:space="preserve"> </w:t>
      </w:r>
      <w:r w:rsidR="009469DC">
        <w:t xml:space="preserve">mandating </w:t>
      </w:r>
      <w:r w:rsidR="005B436E">
        <w:t xml:space="preserve">the </w:t>
      </w:r>
      <w:r w:rsidR="001D7156">
        <w:t xml:space="preserve">declaration of </w:t>
      </w:r>
      <w:r w:rsidR="009469DC">
        <w:t>total dietary fibre in the NIP by</w:t>
      </w:r>
      <w:r w:rsidR="001C20F0">
        <w:t>:</w:t>
      </w:r>
    </w:p>
    <w:p w:rsidR="009469DC" w:rsidRPr="00FC5376" w:rsidRDefault="009469DC" w:rsidP="00FC5376">
      <w:pPr>
        <w:pStyle w:val="FSBullet2"/>
        <w:spacing w:before="120"/>
      </w:pPr>
      <w:r w:rsidRPr="00FC5376">
        <w:t xml:space="preserve">completing a </w:t>
      </w:r>
      <w:r w:rsidR="0034660F" w:rsidRPr="00FC5376">
        <w:t xml:space="preserve">rapid evidence assessment </w:t>
      </w:r>
      <w:r w:rsidR="00AB63E3" w:rsidRPr="00FC5376">
        <w:t>of</w:t>
      </w:r>
      <w:r w:rsidRPr="00FC5376">
        <w:t xml:space="preserve"> consumer knowledge, attitudes and behaviours relating to the declaration of dietary fibre in the NIP</w:t>
      </w:r>
    </w:p>
    <w:p w:rsidR="001C20F0" w:rsidRPr="00FC5376" w:rsidRDefault="009469DC" w:rsidP="00FC5376">
      <w:pPr>
        <w:pStyle w:val="FSBullet2"/>
        <w:spacing w:before="120"/>
      </w:pPr>
      <w:r w:rsidRPr="00FC5376">
        <w:t>estimating the direct labelling costs of mandating the declaration of total dietary fibre content in the NIP.</w:t>
      </w:r>
    </w:p>
    <w:p w:rsidR="0012388D" w:rsidRPr="0024768B" w:rsidRDefault="00486FB5" w:rsidP="003A2C64">
      <w:pPr>
        <w:pStyle w:val="Heading1"/>
      </w:pPr>
      <w:bookmarkStart w:id="25" w:name="_Toc379448907"/>
      <w:r w:rsidRPr="0024768B">
        <w:t>3</w:t>
      </w:r>
      <w:r w:rsidR="00AC428E" w:rsidRPr="0024768B">
        <w:t>.</w:t>
      </w:r>
      <w:r w:rsidR="00AC428E" w:rsidRPr="0024768B">
        <w:tab/>
      </w:r>
      <w:r w:rsidR="00F24E95" w:rsidRPr="0024768B">
        <w:t>Analysis of issues</w:t>
      </w:r>
      <w:bookmarkEnd w:id="18"/>
      <w:bookmarkEnd w:id="25"/>
    </w:p>
    <w:p w:rsidR="00F6014D" w:rsidRDefault="00F6014D" w:rsidP="00B53598">
      <w:pPr>
        <w:pStyle w:val="Heading2"/>
      </w:pPr>
      <w:bookmarkStart w:id="26" w:name="_Toc379448908"/>
      <w:bookmarkStart w:id="27" w:name="_Toc374540820"/>
      <w:bookmarkStart w:id="28" w:name="_Toc120358583"/>
      <w:bookmarkStart w:id="29" w:name="_Toc175381440"/>
      <w:r>
        <w:t>3.1</w:t>
      </w:r>
      <w:r>
        <w:tab/>
      </w:r>
      <w:r w:rsidR="00E80BCC">
        <w:t>M</w:t>
      </w:r>
      <w:r>
        <w:t xml:space="preserve">andating </w:t>
      </w:r>
      <w:r w:rsidR="00ED6974">
        <w:t xml:space="preserve">the </w:t>
      </w:r>
      <w:r w:rsidR="00513BD7">
        <w:t xml:space="preserve">declaration of </w:t>
      </w:r>
      <w:r>
        <w:t>natural</w:t>
      </w:r>
      <w:r w:rsidR="00513BD7">
        <w:t>ly occurring</w:t>
      </w:r>
      <w:r>
        <w:t xml:space="preserve"> dietary fibre </w:t>
      </w:r>
      <w:bookmarkEnd w:id="26"/>
    </w:p>
    <w:p w:rsidR="00B53598" w:rsidRPr="0024768B" w:rsidRDefault="00B53598" w:rsidP="00F6014D">
      <w:pPr>
        <w:pStyle w:val="Heading3"/>
      </w:pPr>
      <w:r w:rsidRPr="0024768B">
        <w:t>3.</w:t>
      </w:r>
      <w:r>
        <w:t>1</w:t>
      </w:r>
      <w:r w:rsidR="00F6014D">
        <w:t>.1</w:t>
      </w:r>
      <w:r w:rsidRPr="0024768B">
        <w:tab/>
      </w:r>
      <w:r w:rsidR="00F6014D">
        <w:t>Distinguishing</w:t>
      </w:r>
      <w:r w:rsidR="00D03C2F">
        <w:t xml:space="preserve"> </w:t>
      </w:r>
      <w:r w:rsidRPr="0024768B">
        <w:t xml:space="preserve">naturally occurring dietary fibre </w:t>
      </w:r>
    </w:p>
    <w:p w:rsidR="00B53598" w:rsidRPr="0024768B" w:rsidRDefault="00B53598" w:rsidP="00B53598">
      <w:pPr>
        <w:rPr>
          <w:rFonts w:cs="Arial"/>
        </w:rPr>
      </w:pPr>
      <w:r w:rsidRPr="0024768B">
        <w:rPr>
          <w:rFonts w:cs="Arial"/>
        </w:rPr>
        <w:t xml:space="preserve">FSANZ has </w:t>
      </w:r>
      <w:r>
        <w:rPr>
          <w:rFonts w:cs="Arial"/>
        </w:rPr>
        <w:t xml:space="preserve">investigated </w:t>
      </w:r>
      <w:r w:rsidR="00ED6974">
        <w:rPr>
          <w:rFonts w:cs="Arial"/>
        </w:rPr>
        <w:t xml:space="preserve">the </w:t>
      </w:r>
      <w:r w:rsidRPr="0024768B">
        <w:rPr>
          <w:rFonts w:cs="Arial"/>
        </w:rPr>
        <w:t xml:space="preserve">scientific and technical issues </w:t>
      </w:r>
      <w:r w:rsidR="00ED6974">
        <w:rPr>
          <w:rFonts w:cs="Arial"/>
        </w:rPr>
        <w:t>associated with the</w:t>
      </w:r>
      <w:r w:rsidRPr="0024768B">
        <w:rPr>
          <w:rFonts w:cs="Arial"/>
        </w:rPr>
        <w:t xml:space="preserve"> feasib</w:t>
      </w:r>
      <w:r w:rsidR="00ED6974">
        <w:rPr>
          <w:rFonts w:cs="Arial"/>
        </w:rPr>
        <w:t>ility</w:t>
      </w:r>
      <w:r w:rsidR="00E80BCC">
        <w:rPr>
          <w:rFonts w:cs="Arial"/>
        </w:rPr>
        <w:t xml:space="preserve"> </w:t>
      </w:r>
      <w:r w:rsidR="00ED6974">
        <w:rPr>
          <w:rFonts w:cs="Arial"/>
        </w:rPr>
        <w:t>of</w:t>
      </w:r>
      <w:r w:rsidRPr="0024768B">
        <w:rPr>
          <w:rFonts w:cs="Arial"/>
        </w:rPr>
        <w:t xml:space="preserve"> </w:t>
      </w:r>
      <w:r w:rsidRPr="0024768B">
        <w:t>distinguish</w:t>
      </w:r>
      <w:r w:rsidR="00ED6974">
        <w:t>ing</w:t>
      </w:r>
      <w:r w:rsidRPr="0024768B">
        <w:t xml:space="preserve"> natural</w:t>
      </w:r>
      <w:r w:rsidR="00513BD7">
        <w:t>ly occurring dietary</w:t>
      </w:r>
      <w:r w:rsidRPr="0024768B">
        <w:t xml:space="preserve"> fibre from </w:t>
      </w:r>
      <w:r w:rsidR="00513BD7">
        <w:t>total</w:t>
      </w:r>
      <w:r w:rsidRPr="0024768B">
        <w:t xml:space="preserve"> dietary fibre. </w:t>
      </w:r>
      <w:r w:rsidRPr="0024768B">
        <w:rPr>
          <w:rFonts w:cs="Arial"/>
        </w:rPr>
        <w:t>The full details of this assessment are located in Supporting Document 1, with a summary of the key findings provided below.</w:t>
      </w:r>
    </w:p>
    <w:p w:rsidR="00B53598" w:rsidRPr="0024768B" w:rsidRDefault="00B53598" w:rsidP="00B53598">
      <w:pPr>
        <w:rPr>
          <w:rFonts w:cs="Arial"/>
        </w:rPr>
      </w:pPr>
    </w:p>
    <w:p w:rsidR="00B53598" w:rsidRPr="0024768B" w:rsidRDefault="00B53598" w:rsidP="00B53598">
      <w:pPr>
        <w:rPr>
          <w:rFonts w:cs="Arial"/>
        </w:rPr>
      </w:pPr>
      <w:r w:rsidRPr="0024768B">
        <w:rPr>
          <w:rFonts w:cs="Arial"/>
        </w:rPr>
        <w:t>‘Dietary fibre’ covers a group of chemically and structurally diverse substances that are largely, but not exclusively, carbohydrates. The types of dietary fibre that are found naturally in foods or are added through</w:t>
      </w:r>
      <w:r w:rsidR="00080F3B">
        <w:rPr>
          <w:rFonts w:cs="Arial"/>
        </w:rPr>
        <w:t xml:space="preserve"> minimally processed</w:t>
      </w:r>
      <w:r w:rsidRPr="0024768B">
        <w:rPr>
          <w:rFonts w:cs="Arial"/>
        </w:rPr>
        <w:t xml:space="preserve"> ingredients</w:t>
      </w:r>
      <w:r w:rsidR="00390BFA">
        <w:rPr>
          <w:rFonts w:cs="Arial"/>
        </w:rPr>
        <w:t>,</w:t>
      </w:r>
      <w:r w:rsidRPr="0024768B">
        <w:rPr>
          <w:rFonts w:cs="Arial"/>
        </w:rPr>
        <w:t xml:space="preserve"> such as bran, overlap in composition with those that can be added from refined sources</w:t>
      </w:r>
      <w:r w:rsidR="00C66439">
        <w:rPr>
          <w:rFonts w:cs="Arial"/>
        </w:rPr>
        <w:t xml:space="preserve"> (</w:t>
      </w:r>
      <w:r w:rsidRPr="0024768B">
        <w:rPr>
          <w:rFonts w:cs="Arial"/>
        </w:rPr>
        <w:t>such as concentrated wheat fibre</w:t>
      </w:r>
      <w:r w:rsidR="00C66439">
        <w:rPr>
          <w:rFonts w:cs="Arial"/>
        </w:rPr>
        <w:t>)</w:t>
      </w:r>
      <w:r w:rsidRPr="0024768B">
        <w:rPr>
          <w:rFonts w:cs="Arial"/>
        </w:rPr>
        <w:t xml:space="preserve">. </w:t>
      </w:r>
      <w:r w:rsidRPr="0024768B">
        <w:t>There is no clear separation chemically</w:t>
      </w:r>
      <w:r w:rsidR="005D14DD">
        <w:t xml:space="preserve"> and functionally</w:t>
      </w:r>
      <w:r w:rsidRPr="0024768B">
        <w:t xml:space="preserve"> between those substances that are </w:t>
      </w:r>
      <w:r w:rsidR="00991468">
        <w:t>intrinsic to a food or contributed by ingredients that are not highly refined, purified and synthesised</w:t>
      </w:r>
      <w:r w:rsidR="002D05A7">
        <w:t xml:space="preserve"> (natural dietary fibre)</w:t>
      </w:r>
      <w:r w:rsidRPr="0024768B">
        <w:t xml:space="preserve"> and </w:t>
      </w:r>
      <w:r w:rsidR="00991468">
        <w:t>refined dietary fibre</w:t>
      </w:r>
      <w:r w:rsidR="00161FFA">
        <w:rPr>
          <w:rStyle w:val="FootnoteReference"/>
        </w:rPr>
        <w:footnoteReference w:id="4"/>
      </w:r>
      <w:r w:rsidR="00DD057E">
        <w:t xml:space="preserve">. </w:t>
      </w:r>
      <w:r w:rsidR="009D4EFB">
        <w:t>In addition,</w:t>
      </w:r>
      <w:r w:rsidR="00EC31C6">
        <w:t xml:space="preserve"> </w:t>
      </w:r>
      <w:r w:rsidRPr="0024768B">
        <w:t xml:space="preserve">foods </w:t>
      </w:r>
      <w:r w:rsidR="00EC31C6">
        <w:t xml:space="preserve">can </w:t>
      </w:r>
      <w:r w:rsidRPr="0024768B">
        <w:t xml:space="preserve">contain </w:t>
      </w:r>
      <w:r w:rsidR="00EC31C6">
        <w:t>both</w:t>
      </w:r>
      <w:r w:rsidR="009D4EFB">
        <w:t xml:space="preserve"> natural and refined</w:t>
      </w:r>
      <w:r w:rsidR="00EC31C6">
        <w:t xml:space="preserve"> </w:t>
      </w:r>
      <w:r w:rsidR="00865EBE">
        <w:t>dietary fibre</w:t>
      </w:r>
      <w:r w:rsidR="009D4EFB">
        <w:t>s</w:t>
      </w:r>
      <w:r w:rsidRPr="0024768B">
        <w:t xml:space="preserve">, and </w:t>
      </w:r>
      <w:r w:rsidR="009D4EFB">
        <w:t xml:space="preserve">in some cases </w:t>
      </w:r>
      <w:r w:rsidR="00865EBE">
        <w:t xml:space="preserve">the </w:t>
      </w:r>
      <w:r w:rsidR="009D4EFB">
        <w:t xml:space="preserve">natural </w:t>
      </w:r>
      <w:r w:rsidR="00865EBE">
        <w:t xml:space="preserve">dietary fibre </w:t>
      </w:r>
      <w:r w:rsidRPr="0024768B">
        <w:t>may be the same substance</w:t>
      </w:r>
      <w:r w:rsidR="009D4EFB">
        <w:t xml:space="preserve"> as the refined dietary fibre</w:t>
      </w:r>
      <w:r>
        <w:t>.</w:t>
      </w:r>
    </w:p>
    <w:p w:rsidR="00B53598" w:rsidRDefault="00B53598" w:rsidP="00B53598">
      <w:pPr>
        <w:rPr>
          <w:rFonts w:cs="Arial"/>
        </w:rPr>
      </w:pPr>
    </w:p>
    <w:p w:rsidR="00B53598" w:rsidRPr="0024768B" w:rsidRDefault="00BD0277" w:rsidP="00B53598">
      <w:pPr>
        <w:rPr>
          <w:rFonts w:cs="Arial"/>
        </w:rPr>
      </w:pPr>
      <w:r w:rsidRPr="00BD0277">
        <w:t>A</w:t>
      </w:r>
      <w:r w:rsidR="00B53598" w:rsidRPr="00BD0277">
        <w:t xml:space="preserve"> small, qualitative survey of foods carrying dietary fibre content</w:t>
      </w:r>
      <w:r w:rsidRPr="00BD0277">
        <w:t xml:space="preserve"> claims</w:t>
      </w:r>
      <w:r w:rsidR="00B53598" w:rsidRPr="00BD0277">
        <w:t xml:space="preserve">, undertaken by FSANZ in 2013, </w:t>
      </w:r>
      <w:r w:rsidRPr="00BD0277">
        <w:t xml:space="preserve">shows that </w:t>
      </w:r>
      <w:r w:rsidR="00B53598" w:rsidRPr="00BD0277">
        <w:t xml:space="preserve">fibre </w:t>
      </w:r>
      <w:r w:rsidRPr="00BD0277">
        <w:t xml:space="preserve">can be sourced </w:t>
      </w:r>
      <w:r w:rsidR="00A04BC4" w:rsidRPr="00BD0277">
        <w:t>natural</w:t>
      </w:r>
      <w:r w:rsidR="00A04BC4">
        <w:t>ly</w:t>
      </w:r>
      <w:r w:rsidR="00A04BC4" w:rsidRPr="00BD0277">
        <w:t xml:space="preserve"> </w:t>
      </w:r>
      <w:r w:rsidRPr="00BD0277">
        <w:t>from</w:t>
      </w:r>
      <w:r w:rsidR="00B53598" w:rsidRPr="00BD0277">
        <w:t xml:space="preserve"> ingredients such as wholegrain cereals and wholemeal cereal flours, brans, nuts, seeds, dried fruit, vegetables, legumes, legume flours, resistant starch and BARLEYmax</w:t>
      </w:r>
      <w:r w:rsidR="00B53598" w:rsidRPr="00BD0277">
        <w:rPr>
          <w:rFonts w:cs="Arial"/>
        </w:rPr>
        <w:t>™</w:t>
      </w:r>
      <w:r w:rsidR="00B53598" w:rsidRPr="00BD0277">
        <w:t xml:space="preserve">. </w:t>
      </w:r>
      <w:r w:rsidR="00A04BC4">
        <w:t xml:space="preserve">Refined </w:t>
      </w:r>
      <w:r w:rsidR="00B53598" w:rsidRPr="00BD0277">
        <w:rPr>
          <w:rFonts w:cs="Arial"/>
        </w:rPr>
        <w:t>fibre</w:t>
      </w:r>
      <w:r w:rsidR="00706AFE">
        <w:rPr>
          <w:rFonts w:cs="Arial"/>
        </w:rPr>
        <w:t>s</w:t>
      </w:r>
      <w:r w:rsidR="00B53598" w:rsidRPr="00BD0277">
        <w:rPr>
          <w:rFonts w:cs="Arial"/>
        </w:rPr>
        <w:t xml:space="preserve"> that appear to be most commonly added to foods are inulin/oligofructose, polydextrose, psyllium and soy fibre. Among the products identified that contained </w:t>
      </w:r>
      <w:r w:rsidR="00A04BC4">
        <w:rPr>
          <w:rFonts w:cs="Arial"/>
        </w:rPr>
        <w:t xml:space="preserve">a </w:t>
      </w:r>
      <w:r w:rsidR="00B53598" w:rsidRPr="00BD0277">
        <w:rPr>
          <w:rFonts w:cs="Arial"/>
        </w:rPr>
        <w:t xml:space="preserve">refined </w:t>
      </w:r>
      <w:r w:rsidR="00A81381">
        <w:rPr>
          <w:rFonts w:cs="Arial"/>
        </w:rPr>
        <w:t xml:space="preserve">dietary </w:t>
      </w:r>
      <w:r w:rsidR="00B53598" w:rsidRPr="00BD0277">
        <w:rPr>
          <w:rFonts w:cs="Arial"/>
        </w:rPr>
        <w:t xml:space="preserve">fibre and made label claims about </w:t>
      </w:r>
      <w:r w:rsidR="00A81381">
        <w:rPr>
          <w:rFonts w:cs="Arial"/>
        </w:rPr>
        <w:t xml:space="preserve">dietary </w:t>
      </w:r>
      <w:r w:rsidR="00B53598" w:rsidRPr="00BD0277">
        <w:rPr>
          <w:rFonts w:cs="Arial"/>
        </w:rPr>
        <w:t xml:space="preserve">fibre content, almost all contained </w:t>
      </w:r>
      <w:r w:rsidR="00A81381">
        <w:rPr>
          <w:rFonts w:cs="Arial"/>
        </w:rPr>
        <w:t xml:space="preserve">some </w:t>
      </w:r>
      <w:r w:rsidR="00706AFE">
        <w:rPr>
          <w:rFonts w:cs="Arial"/>
        </w:rPr>
        <w:t xml:space="preserve">natural </w:t>
      </w:r>
      <w:r w:rsidR="00A81381">
        <w:rPr>
          <w:rFonts w:cs="Arial"/>
        </w:rPr>
        <w:t>dietary</w:t>
      </w:r>
      <w:r w:rsidR="00B53598" w:rsidRPr="00BD0277">
        <w:rPr>
          <w:rFonts w:cs="Arial"/>
        </w:rPr>
        <w:t xml:space="preserve"> fibre as well.</w:t>
      </w:r>
    </w:p>
    <w:p w:rsidR="00B53598" w:rsidRPr="0024768B" w:rsidRDefault="00B53598" w:rsidP="00B53598">
      <w:pPr>
        <w:rPr>
          <w:rFonts w:cs="Arial"/>
        </w:rPr>
      </w:pPr>
    </w:p>
    <w:p w:rsidR="00B53598" w:rsidRPr="0024768B" w:rsidRDefault="00C66439" w:rsidP="00B53598">
      <w:pPr>
        <w:rPr>
          <w:rFonts w:cs="Arial"/>
        </w:rPr>
      </w:pPr>
      <w:r>
        <w:rPr>
          <w:rFonts w:cs="Arial"/>
        </w:rPr>
        <w:t>In respect to measuring natural</w:t>
      </w:r>
      <w:r w:rsidR="00BA39D4">
        <w:rPr>
          <w:rFonts w:cs="Arial"/>
        </w:rPr>
        <w:t>ly occurring dietary</w:t>
      </w:r>
      <w:r>
        <w:rPr>
          <w:rFonts w:cs="Arial"/>
        </w:rPr>
        <w:t xml:space="preserve"> fibre content, </w:t>
      </w:r>
      <w:r w:rsidR="006B6948">
        <w:rPr>
          <w:rFonts w:cs="Arial"/>
        </w:rPr>
        <w:t xml:space="preserve">there are a range of </w:t>
      </w:r>
      <w:r>
        <w:rPr>
          <w:rFonts w:cs="Arial"/>
        </w:rPr>
        <w:t xml:space="preserve">the available dietary fibre analytical methods </w:t>
      </w:r>
      <w:r w:rsidR="003815AA">
        <w:rPr>
          <w:rFonts w:cs="Arial"/>
        </w:rPr>
        <w:t xml:space="preserve">that </w:t>
      </w:r>
      <w:r w:rsidR="00ED6974">
        <w:rPr>
          <w:rFonts w:cs="Arial"/>
        </w:rPr>
        <w:t xml:space="preserve">overlap </w:t>
      </w:r>
      <w:r w:rsidR="00B53598" w:rsidRPr="0024768B">
        <w:rPr>
          <w:rFonts w:cs="Arial"/>
        </w:rPr>
        <w:t>in the fibre types they capture</w:t>
      </w:r>
      <w:r w:rsidR="003815AA">
        <w:rPr>
          <w:rFonts w:cs="Arial"/>
        </w:rPr>
        <w:t xml:space="preserve">. </w:t>
      </w:r>
      <w:r w:rsidR="00064B80">
        <w:rPr>
          <w:rFonts w:cs="Arial"/>
        </w:rPr>
        <w:t xml:space="preserve">There </w:t>
      </w:r>
      <w:r w:rsidR="003815AA">
        <w:rPr>
          <w:rFonts w:cs="Arial"/>
        </w:rPr>
        <w:t xml:space="preserve">are </w:t>
      </w:r>
      <w:r w:rsidR="00B53598" w:rsidRPr="0024768B">
        <w:rPr>
          <w:rFonts w:cs="Arial"/>
        </w:rPr>
        <w:t>no readily available method</w:t>
      </w:r>
      <w:r w:rsidR="003815AA">
        <w:rPr>
          <w:rFonts w:cs="Arial"/>
        </w:rPr>
        <w:t>s</w:t>
      </w:r>
      <w:r w:rsidR="00B53598" w:rsidRPr="0024768B">
        <w:rPr>
          <w:rFonts w:cs="Arial"/>
        </w:rPr>
        <w:t xml:space="preserve"> of analysis that clearly distinguish </w:t>
      </w:r>
      <w:r w:rsidR="00EB4FA5">
        <w:rPr>
          <w:rFonts w:cs="Arial"/>
          <w:lang w:val="en-AU"/>
        </w:rPr>
        <w:t xml:space="preserve">and </w:t>
      </w:r>
      <w:r w:rsidR="003815AA">
        <w:rPr>
          <w:rFonts w:cs="Arial"/>
          <w:lang w:val="en-AU"/>
        </w:rPr>
        <w:t xml:space="preserve">quantify </w:t>
      </w:r>
      <w:r w:rsidR="00EB4FA5">
        <w:rPr>
          <w:rFonts w:cs="Arial"/>
          <w:lang w:val="en-AU"/>
        </w:rPr>
        <w:t>natural</w:t>
      </w:r>
      <w:r w:rsidR="00E80BCC">
        <w:rPr>
          <w:rFonts w:cs="Arial"/>
          <w:lang w:val="en-AU"/>
        </w:rPr>
        <w:t>ly occurring</w:t>
      </w:r>
      <w:r w:rsidR="00EB4FA5">
        <w:rPr>
          <w:rFonts w:cs="Arial"/>
          <w:lang w:val="en-AU"/>
        </w:rPr>
        <w:t xml:space="preserve"> </w:t>
      </w:r>
      <w:r w:rsidR="00064B80">
        <w:rPr>
          <w:rFonts w:cs="Arial"/>
          <w:lang w:val="en-AU"/>
        </w:rPr>
        <w:t xml:space="preserve">dietary </w:t>
      </w:r>
      <w:r w:rsidR="00A81381">
        <w:rPr>
          <w:rFonts w:cs="Arial"/>
          <w:lang w:val="en-AU"/>
        </w:rPr>
        <w:t xml:space="preserve">fibre </w:t>
      </w:r>
      <w:r w:rsidR="00EB4FA5">
        <w:rPr>
          <w:rFonts w:cs="Arial"/>
          <w:lang w:val="en-AU"/>
        </w:rPr>
        <w:t xml:space="preserve">separately from total </w:t>
      </w:r>
      <w:r>
        <w:rPr>
          <w:rFonts w:cs="Arial"/>
          <w:lang w:val="en-AU"/>
        </w:rPr>
        <w:t xml:space="preserve">dietary </w:t>
      </w:r>
      <w:r w:rsidR="00A81381">
        <w:rPr>
          <w:rFonts w:cs="Arial"/>
          <w:lang w:val="en-AU"/>
        </w:rPr>
        <w:t>fibre</w:t>
      </w:r>
      <w:r w:rsidR="00064B80">
        <w:rPr>
          <w:rFonts w:cs="Arial"/>
          <w:lang w:val="en-AU"/>
        </w:rPr>
        <w:t xml:space="preserve"> where both natural and refined fibres are present</w:t>
      </w:r>
      <w:r w:rsidR="00B53598" w:rsidRPr="0024768B">
        <w:rPr>
          <w:rFonts w:cs="Arial"/>
        </w:rPr>
        <w:t xml:space="preserve">. Although methods of analysis have been developed for some </w:t>
      </w:r>
      <w:r w:rsidR="00B53598">
        <w:rPr>
          <w:rFonts w:cs="Arial"/>
        </w:rPr>
        <w:t xml:space="preserve">dietary </w:t>
      </w:r>
      <w:r w:rsidR="00B53598" w:rsidRPr="0024768B">
        <w:rPr>
          <w:rFonts w:cs="Arial"/>
        </w:rPr>
        <w:t xml:space="preserve">fibre types, including inulin, these methods are expensive, do not identify whether the substances are </w:t>
      </w:r>
      <w:r w:rsidR="00B53598" w:rsidRPr="0024768B">
        <w:rPr>
          <w:rFonts w:cs="Arial"/>
        </w:rPr>
        <w:lastRenderedPageBreak/>
        <w:t xml:space="preserve">naturally occurring or added, and </w:t>
      </w:r>
      <w:r w:rsidR="00B53598">
        <w:rPr>
          <w:rFonts w:cs="Arial"/>
        </w:rPr>
        <w:t xml:space="preserve">are </w:t>
      </w:r>
      <w:r w:rsidR="00B53598" w:rsidRPr="0024768B">
        <w:rPr>
          <w:rFonts w:cs="Arial"/>
        </w:rPr>
        <w:t xml:space="preserve">specific </w:t>
      </w:r>
      <w:r w:rsidR="00B53598">
        <w:rPr>
          <w:rFonts w:cs="Arial"/>
        </w:rPr>
        <w:t>to</w:t>
      </w:r>
      <w:r w:rsidR="00B53598" w:rsidRPr="0024768B">
        <w:rPr>
          <w:rFonts w:cs="Arial"/>
        </w:rPr>
        <w:t xml:space="preserve"> particular compounds. There are no generally accepted equivalent tests for more complex refined fibre</w:t>
      </w:r>
      <w:r w:rsidR="00865EBE">
        <w:rPr>
          <w:rFonts w:cs="Arial"/>
        </w:rPr>
        <w:t xml:space="preserve"> source</w:t>
      </w:r>
      <w:r w:rsidR="00B53598" w:rsidRPr="0024768B">
        <w:rPr>
          <w:rFonts w:cs="Arial"/>
        </w:rPr>
        <w:t xml:space="preserve">s </w:t>
      </w:r>
      <w:r w:rsidR="00865EBE">
        <w:rPr>
          <w:rFonts w:cs="Arial"/>
        </w:rPr>
        <w:t xml:space="preserve">that </w:t>
      </w:r>
      <w:r w:rsidR="00B53598" w:rsidRPr="0024768B">
        <w:rPr>
          <w:rFonts w:cs="Arial"/>
        </w:rPr>
        <w:t>contain a mixture of fibre types, such as soy fibre.</w:t>
      </w:r>
    </w:p>
    <w:p w:rsidR="00B53598" w:rsidRPr="0024768B" w:rsidRDefault="00B53598" w:rsidP="00B53598">
      <w:pPr>
        <w:rPr>
          <w:rFonts w:cs="Arial"/>
        </w:rPr>
      </w:pPr>
    </w:p>
    <w:p w:rsidR="00B53598" w:rsidRPr="0024768B" w:rsidRDefault="00B53598" w:rsidP="00B53598">
      <w:pPr>
        <w:rPr>
          <w:rFonts w:cs="Arial"/>
        </w:rPr>
      </w:pPr>
      <w:r w:rsidRPr="0024768B">
        <w:rPr>
          <w:rFonts w:cs="Arial"/>
        </w:rPr>
        <w:t>At present</w:t>
      </w:r>
      <w:r w:rsidR="00A97285">
        <w:rPr>
          <w:rFonts w:cs="Arial"/>
        </w:rPr>
        <w:t>,</w:t>
      </w:r>
      <w:r w:rsidRPr="0024768B">
        <w:rPr>
          <w:rFonts w:cs="Arial"/>
        </w:rPr>
        <w:t xml:space="preserve"> the only feasible </w:t>
      </w:r>
      <w:r w:rsidRPr="00E61AB2">
        <w:rPr>
          <w:rFonts w:cs="Arial"/>
        </w:rPr>
        <w:t>alternative to direct analysis, for estimating amounts of natural</w:t>
      </w:r>
      <w:r w:rsidR="00BA39D4">
        <w:rPr>
          <w:rFonts w:cs="Arial"/>
        </w:rPr>
        <w:t>ly occurring dietary</w:t>
      </w:r>
      <w:r w:rsidRPr="00E61AB2">
        <w:rPr>
          <w:rFonts w:cs="Arial"/>
        </w:rPr>
        <w:t xml:space="preserve"> fibre compared to total dietary fibre, is</w:t>
      </w:r>
      <w:r w:rsidRPr="0024768B">
        <w:rPr>
          <w:rFonts w:cs="Arial"/>
        </w:rPr>
        <w:t xml:space="preserve"> for manufacturers to estimate the refined fibre </w:t>
      </w:r>
      <w:r w:rsidR="00ED6974">
        <w:rPr>
          <w:rFonts w:cs="Arial"/>
        </w:rPr>
        <w:t>ingredient sources</w:t>
      </w:r>
      <w:r w:rsidR="00BA39D4">
        <w:rPr>
          <w:rFonts w:cs="Arial"/>
        </w:rPr>
        <w:t xml:space="preserve"> </w:t>
      </w:r>
      <w:r w:rsidR="00865EBE">
        <w:rPr>
          <w:rFonts w:cs="Arial"/>
        </w:rPr>
        <w:t>that have</w:t>
      </w:r>
      <w:r w:rsidR="00ED6974">
        <w:rPr>
          <w:rFonts w:cs="Arial"/>
        </w:rPr>
        <w:t xml:space="preserve"> been added to their</w:t>
      </w:r>
      <w:r w:rsidRPr="0024768B">
        <w:rPr>
          <w:rFonts w:cs="Arial"/>
        </w:rPr>
        <w:t xml:space="preserve"> product and to subtract this value from the total dietary fibre content of their food. </w:t>
      </w:r>
      <w:r w:rsidR="00DB108F">
        <w:rPr>
          <w:rFonts w:cs="Arial"/>
        </w:rPr>
        <w:t>The United States Food and Drug Agency has recently proposed use of an</w:t>
      </w:r>
      <w:r w:rsidR="00DC69A2">
        <w:rPr>
          <w:rFonts w:cs="Arial"/>
        </w:rPr>
        <w:t xml:space="preserve"> ingredient-based approach</w:t>
      </w:r>
      <w:r w:rsidR="008D7230">
        <w:rPr>
          <w:rFonts w:cs="Arial"/>
        </w:rPr>
        <w:t xml:space="preserve"> </w:t>
      </w:r>
      <w:r w:rsidR="00DC69A2">
        <w:rPr>
          <w:rFonts w:cs="Arial"/>
        </w:rPr>
        <w:t>as an alternative means of declaring values in the Nutrition Facts Panel (their equivalent of the NIP) when no official method of analysis is available for the calculation (USFDA, 2014).</w:t>
      </w:r>
      <w:r w:rsidR="00C926D7">
        <w:rPr>
          <w:rFonts w:cs="Arial"/>
        </w:rPr>
        <w:t xml:space="preserve"> It is noted that as there are official methods for analysis of fibre, this approach would not be appropriate.</w:t>
      </w:r>
      <w:r w:rsidR="00DC69A2">
        <w:rPr>
          <w:rFonts w:cs="Arial"/>
        </w:rPr>
        <w:t xml:space="preserve"> However, </w:t>
      </w:r>
      <w:r w:rsidR="00C926D7">
        <w:rPr>
          <w:rFonts w:cs="Arial"/>
        </w:rPr>
        <w:t xml:space="preserve">for the purposes of discussion, </w:t>
      </w:r>
      <w:r w:rsidR="00EC1A4F">
        <w:rPr>
          <w:rFonts w:cs="Arial"/>
        </w:rPr>
        <w:t xml:space="preserve">if </w:t>
      </w:r>
      <w:r w:rsidR="00DC69A2">
        <w:rPr>
          <w:rFonts w:cs="Arial"/>
        </w:rPr>
        <w:t>a</w:t>
      </w:r>
      <w:r w:rsidRPr="0024768B">
        <w:rPr>
          <w:rFonts w:cs="Arial"/>
        </w:rPr>
        <w:t xml:space="preserve"> manufacturer</w:t>
      </w:r>
      <w:r w:rsidR="00DC69A2">
        <w:rPr>
          <w:rFonts w:cs="Arial"/>
        </w:rPr>
        <w:t xml:space="preserve"> </w:t>
      </w:r>
      <w:r w:rsidR="00EC1A4F">
        <w:rPr>
          <w:rFonts w:cs="Arial"/>
        </w:rPr>
        <w:t>w</w:t>
      </w:r>
      <w:r w:rsidR="00C926D7">
        <w:rPr>
          <w:rFonts w:cs="Arial"/>
        </w:rPr>
        <w:t>ere</w:t>
      </w:r>
      <w:r w:rsidR="00EC1A4F">
        <w:rPr>
          <w:rFonts w:cs="Arial"/>
        </w:rPr>
        <w:t xml:space="preserve"> to use an ingredient-based approach, they </w:t>
      </w:r>
      <w:r w:rsidR="00DC69A2">
        <w:rPr>
          <w:rFonts w:cs="Arial"/>
        </w:rPr>
        <w:t>would</w:t>
      </w:r>
      <w:r w:rsidRPr="0024768B">
        <w:rPr>
          <w:rFonts w:cs="Arial"/>
        </w:rPr>
        <w:t xml:space="preserve"> need to know the level of dietary fibre in each refined ingredient</w:t>
      </w:r>
      <w:r w:rsidR="00DC69A2">
        <w:rPr>
          <w:rFonts w:cs="Arial"/>
        </w:rPr>
        <w:t xml:space="preserve"> </w:t>
      </w:r>
      <w:r w:rsidR="00C926D7">
        <w:rPr>
          <w:rFonts w:cs="Arial"/>
        </w:rPr>
        <w:t>to enable</w:t>
      </w:r>
      <w:r w:rsidR="00DC69A2">
        <w:rPr>
          <w:rFonts w:cs="Arial"/>
        </w:rPr>
        <w:t xml:space="preserve"> naturally occurring dietary fibre declarations</w:t>
      </w:r>
      <w:r w:rsidR="00824D98">
        <w:rPr>
          <w:rFonts w:cs="Arial"/>
        </w:rPr>
        <w:t xml:space="preserve"> in Australia or New Zealand</w:t>
      </w:r>
      <w:r w:rsidRPr="0024768B">
        <w:rPr>
          <w:rFonts w:cs="Arial"/>
        </w:rPr>
        <w:t xml:space="preserve">. National food composition tables and nutrition labelling tools for Australia and New Zealand do not contain the information required to enable manufacturers to derive the information they would need for </w:t>
      </w:r>
      <w:r w:rsidR="00DC69A2">
        <w:rPr>
          <w:rFonts w:cs="Arial"/>
        </w:rPr>
        <w:t>these</w:t>
      </w:r>
      <w:r w:rsidRPr="0024768B">
        <w:rPr>
          <w:rFonts w:cs="Arial"/>
        </w:rPr>
        <w:t xml:space="preserve"> purposes. These data sources would therefore need to undergo substantial modification </w:t>
      </w:r>
      <w:r w:rsidR="003815AA">
        <w:rPr>
          <w:rFonts w:cs="Arial"/>
        </w:rPr>
        <w:t>and enhancement</w:t>
      </w:r>
      <w:r w:rsidR="003815AA" w:rsidRPr="0024768B">
        <w:rPr>
          <w:rFonts w:cs="Arial"/>
        </w:rPr>
        <w:t xml:space="preserve"> </w:t>
      </w:r>
      <w:r w:rsidRPr="0024768B">
        <w:rPr>
          <w:rFonts w:cs="Arial"/>
        </w:rPr>
        <w:t>if a requirement to label natural fibre separately from total dietary fibre were to be mandated.</w:t>
      </w:r>
    </w:p>
    <w:p w:rsidR="00B53598" w:rsidRPr="0024768B" w:rsidRDefault="00B53598" w:rsidP="00B53598"/>
    <w:p w:rsidR="00B53598" w:rsidRDefault="00B53598" w:rsidP="00B53598">
      <w:pPr>
        <w:widowControl/>
      </w:pPr>
      <w:r w:rsidRPr="0024768B">
        <w:t>The key physiological effects of dietary fibre are identified in the definition of dietary fibre used in Standard 1.2.8 of the Code</w:t>
      </w:r>
      <w:r w:rsidR="00684613">
        <w:t xml:space="preserve">: </w:t>
      </w:r>
      <w:r w:rsidRPr="0024768B">
        <w:t>laxation, reduction in blood cholesterol</w:t>
      </w:r>
      <w:r w:rsidR="00C66439">
        <w:t>,</w:t>
      </w:r>
      <w:r w:rsidRPr="0024768B">
        <w:t xml:space="preserve"> and modulation of blood glucose (see Section</w:t>
      </w:r>
      <w:r w:rsidR="00C66439">
        <w:t xml:space="preserve"> 1.3</w:t>
      </w:r>
      <w:r w:rsidRPr="0024768B">
        <w:t xml:space="preserve"> above). </w:t>
      </w:r>
      <w:r w:rsidR="00865EBE">
        <w:t>All types of dietary fibres (naturally occurring or otherwise)</w:t>
      </w:r>
      <w:r w:rsidRPr="0024768B">
        <w:t xml:space="preserve"> display at least one of these effects</w:t>
      </w:r>
      <w:r w:rsidR="00C66439">
        <w:t>,</w:t>
      </w:r>
      <w:r w:rsidRPr="0024768B">
        <w:t xml:space="preserve"> </w:t>
      </w:r>
      <w:r w:rsidRPr="00E61AB2">
        <w:t>and th</w:t>
      </w:r>
      <w:r w:rsidR="00C66439">
        <w:t>us</w:t>
      </w:r>
      <w:r w:rsidRPr="00E61AB2">
        <w:t xml:space="preserve"> differences in physiological effects cannot be used as a way of distinguishing </w:t>
      </w:r>
      <w:r w:rsidR="00865EBE">
        <w:t xml:space="preserve">dietary fibre from either </w:t>
      </w:r>
      <w:r w:rsidRPr="00E61AB2">
        <w:t>natural</w:t>
      </w:r>
      <w:r w:rsidR="00BA39D4">
        <w:t xml:space="preserve"> </w:t>
      </w:r>
      <w:r w:rsidR="00865EBE">
        <w:t>or</w:t>
      </w:r>
      <w:r w:rsidRPr="0024768B">
        <w:t xml:space="preserve"> refined </w:t>
      </w:r>
      <w:r w:rsidR="00865EBE">
        <w:t>sources</w:t>
      </w:r>
      <w:r w:rsidRPr="0024768B">
        <w:t xml:space="preserve">. </w:t>
      </w:r>
      <w:r w:rsidR="000F4AF5">
        <w:t>The</w:t>
      </w:r>
      <w:r w:rsidR="000F4AF5" w:rsidRPr="0024768B">
        <w:t xml:space="preserve"> </w:t>
      </w:r>
      <w:r w:rsidR="00A81381">
        <w:t>assessment</w:t>
      </w:r>
      <w:r w:rsidRPr="0024768B">
        <w:t xml:space="preserve"> </w:t>
      </w:r>
      <w:r w:rsidR="00865EBE">
        <w:t xml:space="preserve">also </w:t>
      </w:r>
      <w:r w:rsidRPr="0024768B">
        <w:t xml:space="preserve">found that there is little information </w:t>
      </w:r>
      <w:r w:rsidRPr="00E61AB2">
        <w:rPr>
          <w:rFonts w:eastAsiaTheme="minorHAnsi" w:cstheme="minorBidi"/>
          <w:szCs w:val="22"/>
          <w:lang w:bidi="ar-SA"/>
        </w:rPr>
        <w:t xml:space="preserve">available that would allow a definitive comparison of any health benefits of </w:t>
      </w:r>
      <w:r w:rsidR="000F4AF5">
        <w:rPr>
          <w:rFonts w:eastAsiaTheme="minorHAnsi" w:cstheme="minorBidi"/>
          <w:szCs w:val="22"/>
          <w:lang w:bidi="ar-SA"/>
        </w:rPr>
        <w:t xml:space="preserve">natural versus refined </w:t>
      </w:r>
      <w:r w:rsidR="00865EBE">
        <w:rPr>
          <w:rFonts w:eastAsiaTheme="minorHAnsi" w:cstheme="minorBidi"/>
          <w:szCs w:val="22"/>
          <w:lang w:bidi="ar-SA"/>
        </w:rPr>
        <w:t>dietary fibre</w:t>
      </w:r>
      <w:r w:rsidRPr="00E61AB2">
        <w:t xml:space="preserve">. The </w:t>
      </w:r>
      <w:r w:rsidR="000F4AF5">
        <w:t>evidence reviewed</w:t>
      </w:r>
      <w:r w:rsidRPr="00E61AB2">
        <w:t xml:space="preserve"> suggests that </w:t>
      </w:r>
      <w:r w:rsidR="003815AA">
        <w:t xml:space="preserve">both </w:t>
      </w:r>
      <w:r w:rsidR="00865EBE">
        <w:t>natural</w:t>
      </w:r>
      <w:r w:rsidR="000F4AF5">
        <w:t xml:space="preserve"> and refined</w:t>
      </w:r>
      <w:r w:rsidR="00865EBE">
        <w:t xml:space="preserve"> dietary fibre ha</w:t>
      </w:r>
      <w:r w:rsidR="000F4AF5">
        <w:t>ve</w:t>
      </w:r>
      <w:r w:rsidR="00865EBE">
        <w:t xml:space="preserve"> the </w:t>
      </w:r>
      <w:r w:rsidRPr="0024768B">
        <w:t xml:space="preserve">potential to contribute to </w:t>
      </w:r>
      <w:r w:rsidR="000F4AF5">
        <w:t xml:space="preserve">some of the </w:t>
      </w:r>
      <w:r w:rsidRPr="0024768B">
        <w:t>recognised health outcomes for dietary fibre.</w:t>
      </w:r>
    </w:p>
    <w:p w:rsidR="00D03C2F" w:rsidRPr="0024768B" w:rsidRDefault="00D03C2F" w:rsidP="00D03C2F">
      <w:pPr>
        <w:pStyle w:val="Heading3"/>
      </w:pPr>
      <w:r w:rsidRPr="0024768B">
        <w:t>3.</w:t>
      </w:r>
      <w:r w:rsidR="00462F22">
        <w:t>1</w:t>
      </w:r>
      <w:r>
        <w:t>.2</w:t>
      </w:r>
      <w:r w:rsidRPr="0024768B">
        <w:tab/>
      </w:r>
      <w:r>
        <w:t>Natural</w:t>
      </w:r>
      <w:r w:rsidR="00BA39D4">
        <w:t>ly occurring</w:t>
      </w:r>
      <w:r>
        <w:t xml:space="preserve"> dietary fibre in the context of d</w:t>
      </w:r>
      <w:r w:rsidRPr="0024768B">
        <w:t>ietary recommendations</w:t>
      </w:r>
    </w:p>
    <w:p w:rsidR="00D03C2F" w:rsidRPr="0024768B" w:rsidRDefault="00D03C2F" w:rsidP="00D03C2F">
      <w:r w:rsidRPr="0024768B">
        <w:t>Similar to the previous 2003 Australian dietary guidelines</w:t>
      </w:r>
      <w:r>
        <w:t xml:space="preserve"> (NHMRC, 2003)</w:t>
      </w:r>
      <w:r w:rsidRPr="0024768B">
        <w:t xml:space="preserve">, the latest </w:t>
      </w:r>
      <w:r w:rsidR="00A77865">
        <w:t>Australian Dietary G</w:t>
      </w:r>
      <w:r w:rsidRPr="0024768B">
        <w:t xml:space="preserve">uidelines </w:t>
      </w:r>
      <w:r>
        <w:t>(NHMRC,</w:t>
      </w:r>
      <w:r w:rsidRPr="0024768B">
        <w:t xml:space="preserve"> 2013</w:t>
      </w:r>
      <w:r>
        <w:t>)</w:t>
      </w:r>
      <w:r w:rsidRPr="0024768B">
        <w:t xml:space="preserve"> emphasise the importance of eating a wide variety of foods including plenty of vegetables (including beans/legumes) and fruit, as well as grain (cereal) foods that are mostly wholegrain and/or high cereal fibre varieties. The guidelines specifically state that to maximise the impact on a range of health benefits, consumption of vegetables and fruit should be in their ‘whole food’ form. The New Zealand food and nutrition guidelines</w:t>
      </w:r>
      <w:r>
        <w:t xml:space="preserve"> (Ministry of Health, 2003)</w:t>
      </w:r>
      <w:r w:rsidRPr="0024768B">
        <w:t xml:space="preserve"> provide similar guidance.</w:t>
      </w:r>
    </w:p>
    <w:p w:rsidR="00D03C2F" w:rsidRPr="0024768B" w:rsidRDefault="00D03C2F" w:rsidP="00D03C2F"/>
    <w:p w:rsidR="00D03C2F" w:rsidRPr="0024768B" w:rsidRDefault="00D03C2F" w:rsidP="00D03C2F">
      <w:pPr>
        <w:rPr>
          <w:rFonts w:cs="Arial"/>
        </w:rPr>
      </w:pPr>
      <w:r w:rsidRPr="0024768B">
        <w:t>T</w:t>
      </w:r>
      <w:r>
        <w:t xml:space="preserve">he labelling review panel’s reference to the </w:t>
      </w:r>
      <w:r w:rsidRPr="0024768B">
        <w:t>2003 Australian d</w:t>
      </w:r>
      <w:r w:rsidRPr="0024768B">
        <w:rPr>
          <w:rFonts w:cs="Arial"/>
        </w:rPr>
        <w:t>ietary guidelines</w:t>
      </w:r>
      <w:r>
        <w:rPr>
          <w:rFonts w:cs="Arial"/>
        </w:rPr>
        <w:t xml:space="preserve"> (refer to </w:t>
      </w:r>
      <w:r w:rsidR="00C91434">
        <w:rPr>
          <w:rFonts w:cs="Arial"/>
        </w:rPr>
        <w:t>S</w:t>
      </w:r>
      <w:r>
        <w:rPr>
          <w:rFonts w:cs="Arial"/>
        </w:rPr>
        <w:t>ection 1.1)</w:t>
      </w:r>
      <w:r w:rsidRPr="0024768B">
        <w:rPr>
          <w:rFonts w:cs="Arial"/>
        </w:rPr>
        <w:t xml:space="preserve"> suggests </w:t>
      </w:r>
      <w:r w:rsidRPr="00DD7A7C">
        <w:rPr>
          <w:rFonts w:cs="Arial"/>
        </w:rPr>
        <w:t>that natural</w:t>
      </w:r>
      <w:r w:rsidR="00BA39D4">
        <w:rPr>
          <w:rFonts w:cs="Arial"/>
        </w:rPr>
        <w:t>ly occurring dietary</w:t>
      </w:r>
      <w:r w:rsidRPr="00DD7A7C">
        <w:rPr>
          <w:rFonts w:cs="Arial"/>
        </w:rPr>
        <w:t xml:space="preserve"> fibre content</w:t>
      </w:r>
      <w:r w:rsidRPr="0024768B">
        <w:rPr>
          <w:rFonts w:cs="Arial"/>
        </w:rPr>
        <w:t xml:space="preserve"> could be a helpful marker for indicating the wholegrain</w:t>
      </w:r>
      <w:r w:rsidR="00BD0277">
        <w:rPr>
          <w:rFonts w:cs="Arial"/>
        </w:rPr>
        <w:t>,</w:t>
      </w:r>
      <w:r w:rsidRPr="0024768B">
        <w:rPr>
          <w:rFonts w:cs="Arial"/>
        </w:rPr>
        <w:t xml:space="preserve"> fruit and vegetable content of a food. </w:t>
      </w:r>
      <w:r w:rsidRPr="0024768B">
        <w:t>However</w:t>
      </w:r>
      <w:r w:rsidR="00A97285">
        <w:t>,</w:t>
      </w:r>
      <w:r w:rsidRPr="0024768B">
        <w:t xml:space="preserve"> there are some limitations to this approach. For example, in the case of cereals, </w:t>
      </w:r>
      <w:r>
        <w:t xml:space="preserve">the </w:t>
      </w:r>
      <w:r w:rsidRPr="0024768B">
        <w:rPr>
          <w:rFonts w:cs="Arial"/>
        </w:rPr>
        <w:t>measur</w:t>
      </w:r>
      <w:r>
        <w:rPr>
          <w:rFonts w:cs="Arial"/>
        </w:rPr>
        <w:t xml:space="preserve">ement of dietary </w:t>
      </w:r>
      <w:r w:rsidRPr="0024768B">
        <w:rPr>
          <w:rFonts w:cs="Arial"/>
        </w:rPr>
        <w:t xml:space="preserve">fibre </w:t>
      </w:r>
      <w:r>
        <w:rPr>
          <w:rFonts w:cs="Arial"/>
        </w:rPr>
        <w:t>(naturally occurring or otherwise) cannot be used as</w:t>
      </w:r>
      <w:r w:rsidRPr="0024768B">
        <w:rPr>
          <w:rFonts w:cs="Arial"/>
        </w:rPr>
        <w:t xml:space="preserve"> a surrogate for measuring the wholegrain content of a food because different grains contain different levels of </w:t>
      </w:r>
      <w:r w:rsidR="00263D63">
        <w:rPr>
          <w:rFonts w:cs="Arial"/>
        </w:rPr>
        <w:t xml:space="preserve">dietary </w:t>
      </w:r>
      <w:r w:rsidRPr="0024768B">
        <w:rPr>
          <w:rFonts w:cs="Arial"/>
        </w:rPr>
        <w:t>fibre</w:t>
      </w:r>
      <w:r>
        <w:rPr>
          <w:rFonts w:cs="Arial"/>
        </w:rPr>
        <w:t>. For example</w:t>
      </w:r>
      <w:r w:rsidRPr="0024768B">
        <w:rPr>
          <w:rFonts w:cs="Arial"/>
        </w:rPr>
        <w:t>, uncooked rolled oats, brown rice and rye grain contain 10.6, 3.5 and 15.1 g/100 g total dietary fibre respectively, and yet each is 100% wholegrain</w:t>
      </w:r>
      <w:r>
        <w:rPr>
          <w:rFonts w:cs="Arial"/>
        </w:rPr>
        <w:t xml:space="preserve"> (US Department of Agriculture 2013)</w:t>
      </w:r>
      <w:r w:rsidRPr="0024768B">
        <w:rPr>
          <w:rFonts w:cs="Arial"/>
        </w:rPr>
        <w:t xml:space="preserve">. </w:t>
      </w:r>
    </w:p>
    <w:p w:rsidR="00B16D68" w:rsidRDefault="00B16D68">
      <w:pPr>
        <w:widowControl/>
        <w:rPr>
          <w:b/>
          <w:bCs/>
          <w:color w:val="17365D" w:themeColor="text2" w:themeShade="BF"/>
          <w:lang w:eastAsia="en-AU" w:bidi="ar-SA"/>
        </w:rPr>
      </w:pPr>
      <w:r>
        <w:br w:type="page"/>
      </w:r>
    </w:p>
    <w:p w:rsidR="00F6014D" w:rsidRDefault="00F6014D" w:rsidP="00F6014D">
      <w:pPr>
        <w:pStyle w:val="Heading3"/>
      </w:pPr>
      <w:r>
        <w:lastRenderedPageBreak/>
        <w:t>3.1.3</w:t>
      </w:r>
      <w:r>
        <w:tab/>
      </w:r>
      <w:r w:rsidR="00E80BCC">
        <w:t>Feasibility of</w:t>
      </w:r>
      <w:r>
        <w:t xml:space="preserve"> mandat</w:t>
      </w:r>
      <w:r w:rsidR="00E80BCC">
        <w:t>ing</w:t>
      </w:r>
      <w:r>
        <w:t xml:space="preserve"> </w:t>
      </w:r>
      <w:r w:rsidR="00E80BCC">
        <w:t xml:space="preserve">declaration of </w:t>
      </w:r>
      <w:r>
        <w:t>natural</w:t>
      </w:r>
      <w:r w:rsidR="00263D63">
        <w:t>ly occurring</w:t>
      </w:r>
      <w:r>
        <w:t xml:space="preserve"> dietary fibre</w:t>
      </w:r>
    </w:p>
    <w:p w:rsidR="00EC6D7C" w:rsidRDefault="00D03C2F" w:rsidP="0035227E">
      <w:pPr>
        <w:widowControl/>
      </w:pPr>
      <w:r w:rsidRPr="0024768B">
        <w:rPr>
          <w:rFonts w:cs="Arial"/>
        </w:rPr>
        <w:t xml:space="preserve">The premise of using </w:t>
      </w:r>
      <w:r w:rsidR="00C91434">
        <w:rPr>
          <w:rFonts w:cs="Arial"/>
        </w:rPr>
        <w:t xml:space="preserve">the </w:t>
      </w:r>
      <w:r w:rsidRPr="0024768B">
        <w:rPr>
          <w:rFonts w:cs="Arial"/>
        </w:rPr>
        <w:t>declaration of natural</w:t>
      </w:r>
      <w:r w:rsidR="00263D63">
        <w:rPr>
          <w:rFonts w:cs="Arial"/>
        </w:rPr>
        <w:t>ly occurring dietary</w:t>
      </w:r>
      <w:r w:rsidRPr="0024768B">
        <w:rPr>
          <w:rFonts w:cs="Arial"/>
        </w:rPr>
        <w:t xml:space="preserve"> fibre to encourage consumption of wholegrain cereals, fruits and vegetables relies on the ability to define natural</w:t>
      </w:r>
      <w:r w:rsidR="00263D63">
        <w:rPr>
          <w:rFonts w:cs="Arial"/>
        </w:rPr>
        <w:t>ly occurring dietary</w:t>
      </w:r>
      <w:r w:rsidRPr="0024768B">
        <w:rPr>
          <w:rFonts w:cs="Arial"/>
        </w:rPr>
        <w:t xml:space="preserve"> fibre, and is contingent on being able to readily distinguish </w:t>
      </w:r>
      <w:r w:rsidR="00263D63">
        <w:rPr>
          <w:rFonts w:cs="Arial"/>
        </w:rPr>
        <w:t xml:space="preserve">dietary fibre from </w:t>
      </w:r>
      <w:r w:rsidRPr="0024768B">
        <w:rPr>
          <w:rFonts w:cs="Arial"/>
        </w:rPr>
        <w:t xml:space="preserve">natural </w:t>
      </w:r>
      <w:r w:rsidR="00263D63">
        <w:rPr>
          <w:rFonts w:cs="Arial"/>
        </w:rPr>
        <w:t>sources</w:t>
      </w:r>
      <w:r w:rsidRPr="0024768B">
        <w:rPr>
          <w:rFonts w:cs="Arial"/>
        </w:rPr>
        <w:t xml:space="preserve"> from other types of added </w:t>
      </w:r>
      <w:r w:rsidR="00263D63">
        <w:rPr>
          <w:rFonts w:cs="Arial"/>
        </w:rPr>
        <w:t xml:space="preserve">dietary </w:t>
      </w:r>
      <w:r w:rsidRPr="0024768B">
        <w:rPr>
          <w:rFonts w:cs="Arial"/>
        </w:rPr>
        <w:t xml:space="preserve">fibre </w:t>
      </w:r>
      <w:r w:rsidR="00263D63">
        <w:rPr>
          <w:rFonts w:cs="Arial"/>
        </w:rPr>
        <w:t xml:space="preserve">ingredients </w:t>
      </w:r>
      <w:r w:rsidRPr="0024768B">
        <w:rPr>
          <w:rFonts w:cs="Arial"/>
        </w:rPr>
        <w:t>in mixed foods.</w:t>
      </w:r>
      <w:r w:rsidR="00F6014D" w:rsidRPr="00F6014D">
        <w:t xml:space="preserve"> </w:t>
      </w:r>
      <w:r w:rsidR="00F6014D">
        <w:t xml:space="preserve">However, FSANZ’s assessments show that there is no simple </w:t>
      </w:r>
      <w:r w:rsidR="00C82887">
        <w:t>way</w:t>
      </w:r>
      <w:r w:rsidR="00F6014D">
        <w:t xml:space="preserve"> </w:t>
      </w:r>
      <w:r w:rsidR="00C4057F">
        <w:t xml:space="preserve">naturally occurring </w:t>
      </w:r>
      <w:r w:rsidR="00263D63">
        <w:t xml:space="preserve">dietary fibre </w:t>
      </w:r>
      <w:r w:rsidR="00F6014D">
        <w:t xml:space="preserve">can be separately distinguished </w:t>
      </w:r>
      <w:r w:rsidR="00865EBE">
        <w:t xml:space="preserve">and measured </w:t>
      </w:r>
      <w:r w:rsidR="00755B91">
        <w:t xml:space="preserve">from </w:t>
      </w:r>
      <w:r w:rsidR="00C4057F">
        <w:t xml:space="preserve">total </w:t>
      </w:r>
      <w:r w:rsidR="00755B91">
        <w:t>dietary fibre</w:t>
      </w:r>
      <w:r w:rsidR="00F6014D">
        <w:t xml:space="preserve">. </w:t>
      </w:r>
      <w:r w:rsidR="00865EBE" w:rsidRPr="00E61AB2">
        <w:t xml:space="preserve">The available information </w:t>
      </w:r>
      <w:r w:rsidR="00865EBE">
        <w:t xml:space="preserve">also </w:t>
      </w:r>
      <w:r w:rsidR="00865EBE" w:rsidRPr="00E61AB2">
        <w:t xml:space="preserve">suggests that </w:t>
      </w:r>
      <w:r w:rsidR="00865EBE">
        <w:t xml:space="preserve">naturally occurring dietary fibre has the same </w:t>
      </w:r>
      <w:r w:rsidR="00865EBE" w:rsidRPr="0024768B">
        <w:t>potential to contribute to recognised health outcomes for dietary fibre</w:t>
      </w:r>
      <w:r w:rsidR="00865EBE">
        <w:t xml:space="preserve"> as </w:t>
      </w:r>
      <w:r w:rsidR="00263D63">
        <w:t>d</w:t>
      </w:r>
      <w:r w:rsidR="00865EBE">
        <w:t xml:space="preserve">ietary fibre </w:t>
      </w:r>
      <w:r w:rsidR="00263D63">
        <w:t>from other sources</w:t>
      </w:r>
      <w:r w:rsidR="00865EBE" w:rsidRPr="0024768B">
        <w:t>.</w:t>
      </w:r>
    </w:p>
    <w:p w:rsidR="00EC6D7C" w:rsidRDefault="00EC6D7C" w:rsidP="0035227E">
      <w:pPr>
        <w:widowControl/>
      </w:pPr>
    </w:p>
    <w:p w:rsidR="00D03C2F" w:rsidRDefault="00F6014D" w:rsidP="0035227E">
      <w:pPr>
        <w:widowControl/>
        <w:rPr>
          <w:rFonts w:cs="Arial"/>
        </w:rPr>
      </w:pPr>
      <w:r>
        <w:t>Without clear ability to separate and measure natural</w:t>
      </w:r>
      <w:r w:rsidR="00263D63">
        <w:t>ly occurring dietary</w:t>
      </w:r>
      <w:r>
        <w:t xml:space="preserve"> fibre, </w:t>
      </w:r>
      <w:r w:rsidR="00EC6D7C">
        <w:t>a</w:t>
      </w:r>
      <w:r>
        <w:t xml:space="preserve"> requirement to </w:t>
      </w:r>
      <w:r w:rsidR="00C4057F">
        <w:t>declare naturally occurring dietary fibre</w:t>
      </w:r>
      <w:r w:rsidR="00755B91">
        <w:t xml:space="preserve"> </w:t>
      </w:r>
      <w:r w:rsidR="00C4057F">
        <w:t xml:space="preserve">in </w:t>
      </w:r>
      <w:r w:rsidR="00445256">
        <w:t xml:space="preserve">the </w:t>
      </w:r>
      <w:r w:rsidR="00074D56">
        <w:t>NIP would</w:t>
      </w:r>
      <w:r>
        <w:t xml:space="preserve"> be difficult and </w:t>
      </w:r>
      <w:r w:rsidR="00E53A52">
        <w:t>impractical</w:t>
      </w:r>
      <w:r w:rsidR="003D69CB">
        <w:t xml:space="preserve"> to implement</w:t>
      </w:r>
      <w:r w:rsidR="00E53A52">
        <w:t>.</w:t>
      </w:r>
      <w:r w:rsidR="006238BF">
        <w:t xml:space="preserve"> </w:t>
      </w:r>
    </w:p>
    <w:p w:rsidR="00BB57B4" w:rsidRPr="0024768B" w:rsidRDefault="00BB57B4" w:rsidP="00BB57B4">
      <w:pPr>
        <w:pStyle w:val="Heading2"/>
      </w:pPr>
      <w:bookmarkStart w:id="30" w:name="_Toc379448909"/>
      <w:r w:rsidRPr="0024768B">
        <w:t>3.</w:t>
      </w:r>
      <w:r w:rsidR="00B53598">
        <w:t>2</w:t>
      </w:r>
      <w:r w:rsidRPr="0024768B">
        <w:tab/>
      </w:r>
      <w:r w:rsidR="00445256">
        <w:t>M</w:t>
      </w:r>
      <w:r w:rsidR="00B53598">
        <w:t>andat</w:t>
      </w:r>
      <w:r w:rsidR="00445256">
        <w:t>ing</w:t>
      </w:r>
      <w:r w:rsidR="00B53598">
        <w:t xml:space="preserve"> declaration of total dietary fibre</w:t>
      </w:r>
      <w:bookmarkEnd w:id="30"/>
    </w:p>
    <w:p w:rsidR="00BB57B4" w:rsidRPr="0024768B" w:rsidRDefault="00B53598" w:rsidP="006238BF">
      <w:pPr>
        <w:pStyle w:val="Heading3"/>
      </w:pPr>
      <w:bookmarkStart w:id="31" w:name="_Toc374540817"/>
      <w:r>
        <w:t>3.2</w:t>
      </w:r>
      <w:r w:rsidR="00BB57B4" w:rsidRPr="0024768B">
        <w:t>.</w:t>
      </w:r>
      <w:r>
        <w:t>1</w:t>
      </w:r>
      <w:r w:rsidR="00BB57B4" w:rsidRPr="0024768B">
        <w:tab/>
      </w:r>
      <w:r w:rsidR="00FE5DEC" w:rsidRPr="0024768B">
        <w:t xml:space="preserve">Comparison with </w:t>
      </w:r>
      <w:r w:rsidR="009A091C" w:rsidRPr="0024768B">
        <w:t>international</w:t>
      </w:r>
      <w:r w:rsidR="00FE5DEC" w:rsidRPr="0024768B">
        <w:t xml:space="preserve"> </w:t>
      </w:r>
      <w:r w:rsidR="009A091C" w:rsidRPr="0024768B">
        <w:t xml:space="preserve">and overseas </w:t>
      </w:r>
      <w:r w:rsidR="00FE5DEC" w:rsidRPr="0024768B">
        <w:t>regulations</w:t>
      </w:r>
      <w:r w:rsidR="00BB57B4" w:rsidRPr="0024768B">
        <w:t xml:space="preserve"> </w:t>
      </w:r>
      <w:bookmarkEnd w:id="31"/>
    </w:p>
    <w:p w:rsidR="00FF6073" w:rsidRPr="0024768B" w:rsidRDefault="00FF6073" w:rsidP="00BB57B4">
      <w:r w:rsidRPr="0024768B">
        <w:t xml:space="preserve">The regulatory approach </w:t>
      </w:r>
      <w:r w:rsidR="005F52B5">
        <w:t>for</w:t>
      </w:r>
      <w:r w:rsidR="005F52B5" w:rsidRPr="0024768B">
        <w:t xml:space="preserve"> </w:t>
      </w:r>
      <w:r w:rsidRPr="0024768B">
        <w:t xml:space="preserve">the declaration of </w:t>
      </w:r>
      <w:r w:rsidR="005C71C3">
        <w:t xml:space="preserve">total </w:t>
      </w:r>
      <w:r w:rsidRPr="0024768B">
        <w:t xml:space="preserve">dietary fibre content in Australia and New Zealand is consistent with both Codex Alimentarius </w:t>
      </w:r>
      <w:r w:rsidR="00964A40" w:rsidRPr="0024768B">
        <w:t xml:space="preserve">guidelines </w:t>
      </w:r>
      <w:r w:rsidRPr="0024768B">
        <w:t xml:space="preserve">and </w:t>
      </w:r>
      <w:r w:rsidR="000A4DA2" w:rsidRPr="0024768B">
        <w:t xml:space="preserve">European Union </w:t>
      </w:r>
      <w:r w:rsidR="000A4DA2">
        <w:t>(</w:t>
      </w:r>
      <w:r w:rsidRPr="0024768B">
        <w:t>EU</w:t>
      </w:r>
      <w:r w:rsidR="000A4DA2">
        <w:t>)</w:t>
      </w:r>
      <w:r w:rsidRPr="0024768B">
        <w:t xml:space="preserve"> regulation</w:t>
      </w:r>
      <w:r w:rsidR="00A41E58" w:rsidRPr="0024768B">
        <w:t>s</w:t>
      </w:r>
      <w:r w:rsidR="00614EF8" w:rsidRPr="0024768B">
        <w:t xml:space="preserve">, but differs to </w:t>
      </w:r>
      <w:r w:rsidR="005F52B5">
        <w:t>regulations</w:t>
      </w:r>
      <w:r w:rsidR="005F52B5" w:rsidRPr="0024768B">
        <w:t xml:space="preserve"> </w:t>
      </w:r>
      <w:r w:rsidR="00614EF8" w:rsidRPr="0024768B">
        <w:t>in the United States of America</w:t>
      </w:r>
      <w:r w:rsidR="005F52B5">
        <w:t xml:space="preserve"> (USA)</w:t>
      </w:r>
      <w:r w:rsidR="00614EF8" w:rsidRPr="0024768B">
        <w:t xml:space="preserve"> and Canada</w:t>
      </w:r>
      <w:r w:rsidRPr="0024768B">
        <w:t>.</w:t>
      </w:r>
    </w:p>
    <w:p w:rsidR="00FF6073" w:rsidRPr="0024768B" w:rsidRDefault="00FF6073" w:rsidP="00BB57B4"/>
    <w:p w:rsidR="00C1319C" w:rsidRPr="0024768B" w:rsidRDefault="00E91E5B" w:rsidP="00BB57B4">
      <w:r w:rsidRPr="0024768B">
        <w:t xml:space="preserve">The </w:t>
      </w:r>
      <w:r w:rsidR="00BB57B4" w:rsidRPr="0024768B">
        <w:t xml:space="preserve">Codex </w:t>
      </w:r>
      <w:r w:rsidR="00C1779F" w:rsidRPr="0024768B">
        <w:rPr>
          <w:i/>
        </w:rPr>
        <w:t>Guidelines for Nutrition Labelling</w:t>
      </w:r>
      <w:r w:rsidR="00C1779F" w:rsidRPr="0024768B">
        <w:t xml:space="preserve"> (CAC/GL 2-1985) </w:t>
      </w:r>
      <w:r w:rsidR="00D56444" w:rsidRPr="0024768B">
        <w:t xml:space="preserve">support mandatory </w:t>
      </w:r>
      <w:r w:rsidR="00B206AF" w:rsidRPr="0024768B">
        <w:t xml:space="preserve">nutrition </w:t>
      </w:r>
      <w:r w:rsidR="00D56444" w:rsidRPr="0024768B">
        <w:t>declarations for all pre-packaged foods (except where national circumstances do not support such declarations</w:t>
      </w:r>
      <w:r w:rsidR="00C1319C" w:rsidRPr="0024768B">
        <w:t xml:space="preserve">). </w:t>
      </w:r>
      <w:r w:rsidR="00B206AF" w:rsidRPr="0024768B">
        <w:t>The n</w:t>
      </w:r>
      <w:r w:rsidR="00C1319C" w:rsidRPr="0024768B">
        <w:t>utrients list</w:t>
      </w:r>
      <w:r w:rsidR="00B206AF" w:rsidRPr="0024768B">
        <w:t>ed</w:t>
      </w:r>
      <w:r w:rsidR="00C1319C" w:rsidRPr="0024768B">
        <w:t xml:space="preserve"> for mandatory declaration are energy, protein, available carbohydrate (i.e. dietary carbohydrate excluding dietary fibre), fat, saturated fat, sodium and total sugars, plus any other nutrient:</w:t>
      </w:r>
    </w:p>
    <w:p w:rsidR="00C1319C" w:rsidRPr="0024768B" w:rsidRDefault="00C1319C" w:rsidP="00607774">
      <w:pPr>
        <w:pStyle w:val="FSBullet1"/>
        <w:spacing w:before="120"/>
      </w:pPr>
      <w:r w:rsidRPr="0024768B">
        <w:t xml:space="preserve">for which a nutrition or health claim is made </w:t>
      </w:r>
    </w:p>
    <w:p w:rsidR="00C1319C" w:rsidRPr="0024768B" w:rsidRDefault="001968D4" w:rsidP="00607774">
      <w:pPr>
        <w:pStyle w:val="FSBullet1"/>
        <w:spacing w:before="120"/>
      </w:pPr>
      <w:r w:rsidRPr="0024768B">
        <w:rPr>
          <w:lang w:bidi="en-US"/>
        </w:rPr>
        <w:t xml:space="preserve">which is </w:t>
      </w:r>
      <w:r w:rsidR="00C1319C" w:rsidRPr="0024768B">
        <w:rPr>
          <w:lang w:bidi="en-US"/>
        </w:rPr>
        <w:t>considered to be relevant for maintaining a good nutritional status, as</w:t>
      </w:r>
      <w:r w:rsidR="00C1319C" w:rsidRPr="0024768B">
        <w:t xml:space="preserve"> </w:t>
      </w:r>
      <w:r w:rsidR="00C1319C" w:rsidRPr="0024768B">
        <w:rPr>
          <w:lang w:bidi="en-US"/>
        </w:rPr>
        <w:t>required by national legislation or national dietary guidelines</w:t>
      </w:r>
      <w:r w:rsidR="00C1319C" w:rsidRPr="0024768B">
        <w:t>.</w:t>
      </w:r>
    </w:p>
    <w:p w:rsidR="00FE5DEC" w:rsidRPr="0024768B" w:rsidRDefault="00FE5DEC" w:rsidP="00BB57B4">
      <w:pPr>
        <w:rPr>
          <w:i/>
        </w:rPr>
      </w:pPr>
    </w:p>
    <w:p w:rsidR="00B53598" w:rsidRDefault="00D53092" w:rsidP="004D4A64">
      <w:r w:rsidRPr="0024768B">
        <w:t xml:space="preserve">In </w:t>
      </w:r>
      <w:r w:rsidR="00BB57B4" w:rsidRPr="002B1909">
        <w:t>Labelling Logic</w:t>
      </w:r>
      <w:r w:rsidR="00BB57B4" w:rsidRPr="0024768B">
        <w:t xml:space="preserve"> </w:t>
      </w:r>
      <w:r w:rsidRPr="0024768B">
        <w:t xml:space="preserve">the </w:t>
      </w:r>
      <w:r w:rsidR="00906AEE" w:rsidRPr="0024768B">
        <w:t>review p</w:t>
      </w:r>
      <w:r w:rsidRPr="0024768B">
        <w:t xml:space="preserve">anel </w:t>
      </w:r>
      <w:r w:rsidR="00882C79" w:rsidRPr="0024768B">
        <w:t xml:space="preserve">referred </w:t>
      </w:r>
      <w:r w:rsidR="00906AEE" w:rsidRPr="0024768B">
        <w:t xml:space="preserve">to </w:t>
      </w:r>
      <w:r w:rsidR="00882C79" w:rsidRPr="0024768B">
        <w:t>t</w:t>
      </w:r>
      <w:r w:rsidR="00BB57B4" w:rsidRPr="0024768B">
        <w:t xml:space="preserve">he </w:t>
      </w:r>
      <w:r w:rsidR="00906AEE" w:rsidRPr="0024768B">
        <w:t xml:space="preserve">EU </w:t>
      </w:r>
      <w:r w:rsidR="00BB57B4" w:rsidRPr="0024768B">
        <w:t xml:space="preserve">as </w:t>
      </w:r>
      <w:r w:rsidR="00FE5DEC" w:rsidRPr="0024768B">
        <w:rPr>
          <w:i/>
        </w:rPr>
        <w:t>identifying dietary fibre as a key nutrient to be declared in the NIP</w:t>
      </w:r>
      <w:r w:rsidR="00FE5DEC" w:rsidRPr="0024768B">
        <w:t>.</w:t>
      </w:r>
      <w:r w:rsidR="00882C79" w:rsidRPr="0024768B">
        <w:t xml:space="preserve"> However</w:t>
      </w:r>
      <w:r w:rsidR="001968D4" w:rsidRPr="0024768B">
        <w:t>,</w:t>
      </w:r>
      <w:r w:rsidR="00882C79" w:rsidRPr="0024768B">
        <w:t xml:space="preserve"> </w:t>
      </w:r>
      <w:r w:rsidR="00906AEE" w:rsidRPr="0024768B">
        <w:t xml:space="preserve">in 2011 </w:t>
      </w:r>
      <w:r w:rsidR="00882C79" w:rsidRPr="0024768B">
        <w:t xml:space="preserve">the </w:t>
      </w:r>
      <w:r w:rsidR="00906AEE" w:rsidRPr="0024768B">
        <w:t>EU released new r</w:t>
      </w:r>
      <w:r w:rsidR="00882C79" w:rsidRPr="0024768B">
        <w:t>egulation</w:t>
      </w:r>
      <w:r w:rsidR="00906AEE" w:rsidRPr="0024768B">
        <w:t>s</w:t>
      </w:r>
      <w:r w:rsidR="00882C79" w:rsidRPr="0024768B">
        <w:t xml:space="preserve"> on the provision of food information to consumers (EU 1169/2011) </w:t>
      </w:r>
      <w:r w:rsidR="000575FE" w:rsidRPr="0024768B">
        <w:t xml:space="preserve">that did not mandate the declaration of dietary fibre content </w:t>
      </w:r>
      <w:r w:rsidR="00EE4160">
        <w:t>in the NIP</w:t>
      </w:r>
      <w:r w:rsidR="000575FE" w:rsidRPr="0024768B">
        <w:t xml:space="preserve">. Instead, these new regulations </w:t>
      </w:r>
      <w:r w:rsidR="00FF6073" w:rsidRPr="0024768B">
        <w:t xml:space="preserve">permit the voluntary </w:t>
      </w:r>
      <w:r w:rsidR="00EC6D7C">
        <w:t>declaration of</w:t>
      </w:r>
      <w:r w:rsidR="000575FE" w:rsidRPr="0024768B">
        <w:t xml:space="preserve"> </w:t>
      </w:r>
      <w:r w:rsidR="00FF6073" w:rsidRPr="0024768B">
        <w:t>dietary fibre content</w:t>
      </w:r>
      <w:r w:rsidR="000575FE" w:rsidRPr="0024768B">
        <w:t>,</w:t>
      </w:r>
      <w:r w:rsidR="00FF6073" w:rsidRPr="0024768B">
        <w:t xml:space="preserve"> but </w:t>
      </w:r>
      <w:r w:rsidR="00882C79" w:rsidRPr="0024768B">
        <w:t xml:space="preserve">do not require the mandatory declaration </w:t>
      </w:r>
      <w:r w:rsidR="007F5794" w:rsidRPr="0024768B">
        <w:t xml:space="preserve">unless a nutrition or </w:t>
      </w:r>
      <w:r w:rsidR="007F5794" w:rsidRPr="000F3304">
        <w:t>health claim about dietary fibre is made</w:t>
      </w:r>
      <w:r w:rsidR="00882C79" w:rsidRPr="000F3304">
        <w:t>.</w:t>
      </w:r>
      <w:r w:rsidR="004D4A64" w:rsidRPr="000F3304">
        <w:t xml:space="preserve"> </w:t>
      </w:r>
      <w:r w:rsidR="00811528">
        <w:t>These</w:t>
      </w:r>
      <w:r w:rsidR="002954FA" w:rsidRPr="000F3304">
        <w:t xml:space="preserve"> requirements become </w:t>
      </w:r>
      <w:r w:rsidR="002954FA" w:rsidRPr="00EE4160">
        <w:t xml:space="preserve">fully effective in December 2014 for foods </w:t>
      </w:r>
      <w:r w:rsidR="00EC6D7C">
        <w:t>with</w:t>
      </w:r>
      <w:r w:rsidR="002954FA" w:rsidRPr="00EE4160">
        <w:t xml:space="preserve"> a</w:t>
      </w:r>
      <w:r w:rsidR="00EC6D7C">
        <w:t>n</w:t>
      </w:r>
      <w:r w:rsidR="002954FA" w:rsidRPr="00EE4160">
        <w:t xml:space="preserve"> NIP, and for all foods from Dec</w:t>
      </w:r>
      <w:r w:rsidR="002954FA" w:rsidRPr="000F3304">
        <w:t>ember 2016</w:t>
      </w:r>
      <w:r w:rsidR="00EE4160">
        <w:t xml:space="preserve"> </w:t>
      </w:r>
      <w:r w:rsidR="00EE4160" w:rsidRPr="000F3304">
        <w:t xml:space="preserve">(the NIP </w:t>
      </w:r>
      <w:r w:rsidR="00EE4160">
        <w:t xml:space="preserve">remains </w:t>
      </w:r>
      <w:r w:rsidR="00EE4160" w:rsidRPr="000F3304">
        <w:t xml:space="preserve">voluntary in the EU </w:t>
      </w:r>
      <w:r w:rsidR="00EE4160">
        <w:t>from December 2014 to December 2016</w:t>
      </w:r>
      <w:r w:rsidR="00EE4160" w:rsidRPr="000F3304">
        <w:t>)</w:t>
      </w:r>
      <w:r w:rsidR="004D4A64" w:rsidRPr="000F3304">
        <w:t>.</w:t>
      </w:r>
    </w:p>
    <w:p w:rsidR="00964A40" w:rsidRPr="0024768B" w:rsidRDefault="00964A40" w:rsidP="004D4A64"/>
    <w:p w:rsidR="00566C02" w:rsidRDefault="009A091C" w:rsidP="00BB57B4">
      <w:r w:rsidRPr="0024768B">
        <w:t>In contrast, both t</w:t>
      </w:r>
      <w:r w:rsidR="00BB57B4" w:rsidRPr="0024768B">
        <w:t>he United States Code of Federal Regulations</w:t>
      </w:r>
      <w:r w:rsidR="004E2EE6">
        <w:rPr>
          <w:rStyle w:val="FootnoteReference"/>
        </w:rPr>
        <w:footnoteReference w:id="5"/>
      </w:r>
      <w:r w:rsidR="00BB57B4" w:rsidRPr="0024768B">
        <w:t xml:space="preserve"> and the Canadian Food and Drug Regulations</w:t>
      </w:r>
      <w:r w:rsidR="004E2EE6">
        <w:rPr>
          <w:rStyle w:val="FootnoteReference"/>
        </w:rPr>
        <w:footnoteReference w:id="6"/>
      </w:r>
      <w:r w:rsidR="00BB57B4" w:rsidRPr="0024768B">
        <w:t xml:space="preserve"> mandate the declaration of dietary fibre content on food labels. </w:t>
      </w:r>
      <w:r w:rsidR="00354826">
        <w:t xml:space="preserve">When a manufacturer declares a dietary fibre content, the value must be measured using a method of analysis established in </w:t>
      </w:r>
      <w:r w:rsidR="00566C02">
        <w:t xml:space="preserve">the </w:t>
      </w:r>
      <w:r w:rsidR="00354826" w:rsidRPr="004E7878">
        <w:rPr>
          <w:i/>
        </w:rPr>
        <w:t>Official Methods of Analysis of AOAC International</w:t>
      </w:r>
      <w:r w:rsidR="00354826">
        <w:t xml:space="preserve">. </w:t>
      </w:r>
    </w:p>
    <w:p w:rsidR="00566C02" w:rsidRDefault="00566C02">
      <w:pPr>
        <w:widowControl/>
      </w:pPr>
      <w:r>
        <w:br w:type="page"/>
      </w:r>
    </w:p>
    <w:p w:rsidR="009A091C" w:rsidRPr="0024768B" w:rsidRDefault="00BB57B4" w:rsidP="00BB57B4">
      <w:r w:rsidRPr="0024768B">
        <w:lastRenderedPageBreak/>
        <w:t>The</w:t>
      </w:r>
      <w:r w:rsidR="009A091C" w:rsidRPr="0024768B">
        <w:t>se</w:t>
      </w:r>
      <w:r w:rsidRPr="0024768B">
        <w:t xml:space="preserve"> regulations require that the total dietary fibre content be listed as a subcomponent of total carbohydrate content</w:t>
      </w:r>
      <w:r w:rsidR="00CC6FCC" w:rsidRPr="0024768B">
        <w:t>. However</w:t>
      </w:r>
      <w:r w:rsidR="000A4DA2">
        <w:t>,</w:t>
      </w:r>
      <w:r w:rsidR="00CC6FCC" w:rsidRPr="0024768B">
        <w:t xml:space="preserve"> this requirement does not apply in the </w:t>
      </w:r>
      <w:r w:rsidR="007E4FC7">
        <w:t>USA</w:t>
      </w:r>
      <w:r w:rsidR="00CC6FCC" w:rsidRPr="0024768B">
        <w:t xml:space="preserve"> if the dietary fibre content is less than 1 g/serve; in this instance, a food label can declare ‘less than one gram’</w:t>
      </w:r>
      <w:r w:rsidRPr="0024768B">
        <w:t>.</w:t>
      </w:r>
      <w:r w:rsidR="00CC6FCC" w:rsidRPr="0024768B">
        <w:t xml:space="preserve"> In both Canad</w:t>
      </w:r>
      <w:r w:rsidR="00D80A63" w:rsidRPr="0024768B">
        <w:t>a</w:t>
      </w:r>
      <w:r w:rsidR="00CC6FCC" w:rsidRPr="0024768B">
        <w:t xml:space="preserve"> and the </w:t>
      </w:r>
      <w:r w:rsidR="007E4FC7">
        <w:t>USA</w:t>
      </w:r>
      <w:r w:rsidR="00CC6FCC" w:rsidRPr="0024768B">
        <w:t>, if the content is less than 0.5 g/serve, then the value can be expressed as zero.</w:t>
      </w:r>
      <w:r w:rsidRPr="0024768B">
        <w:t xml:space="preserve"> </w:t>
      </w:r>
      <w:r w:rsidR="00CC6FCC" w:rsidRPr="0024768B">
        <w:t>Alternatively, the statement ‘not a significant source of dietary fibre’ can be used in place of a numerical declaration if the dietary fibre content is less than 0.5 g/serve and</w:t>
      </w:r>
      <w:r w:rsidR="00D80A63" w:rsidRPr="0024768B">
        <w:t xml:space="preserve"> </w:t>
      </w:r>
      <w:r w:rsidR="00CC6FCC" w:rsidRPr="0024768B">
        <w:t>six or more of the food’s energy and nutrients also have a value of zero.</w:t>
      </w:r>
    </w:p>
    <w:p w:rsidR="00686134" w:rsidRDefault="00686134" w:rsidP="00BB57B4"/>
    <w:p w:rsidR="0035227E" w:rsidRDefault="009A091C" w:rsidP="00BB57B4">
      <w:r w:rsidRPr="0024768B">
        <w:t>Besides US</w:t>
      </w:r>
      <w:r w:rsidR="007E4FC7">
        <w:t>A</w:t>
      </w:r>
      <w:r w:rsidRPr="0024768B">
        <w:t xml:space="preserve"> and Canad</w:t>
      </w:r>
      <w:r w:rsidR="005236CC">
        <w:t>a</w:t>
      </w:r>
      <w:r w:rsidRPr="0024768B">
        <w:t>, F</w:t>
      </w:r>
      <w:r w:rsidR="00BB57B4" w:rsidRPr="0024768B">
        <w:t>SANZ is not aware of any other overseas regulation that mandate</w:t>
      </w:r>
      <w:r w:rsidR="00CC7637">
        <w:t>s</w:t>
      </w:r>
      <w:r w:rsidR="00BB57B4" w:rsidRPr="0024768B">
        <w:t xml:space="preserve"> the declaration of dietary fibre content </w:t>
      </w:r>
      <w:r w:rsidR="005236CC">
        <w:t>in the NIP</w:t>
      </w:r>
      <w:r w:rsidR="00DF2F37" w:rsidRPr="0024768B">
        <w:t>.</w:t>
      </w:r>
      <w:r w:rsidR="00C4057F">
        <w:t xml:space="preserve"> FSANZ has also been unable to identify any overseas food regulations that require the separate declaration of naturally occurring dietary fibre.</w:t>
      </w:r>
    </w:p>
    <w:p w:rsidR="00AD4EA0" w:rsidRPr="0024768B" w:rsidRDefault="00486FB5" w:rsidP="003A2C64">
      <w:pPr>
        <w:pStyle w:val="Heading3"/>
      </w:pPr>
      <w:bookmarkStart w:id="32" w:name="_Toc374540823"/>
      <w:bookmarkStart w:id="33" w:name="_Toc175381450"/>
      <w:bookmarkEnd w:id="27"/>
      <w:bookmarkEnd w:id="28"/>
      <w:bookmarkEnd w:id="29"/>
      <w:r w:rsidRPr="0024768B">
        <w:t>3</w:t>
      </w:r>
      <w:r w:rsidR="00C92AE0" w:rsidRPr="0024768B">
        <w:t>.</w:t>
      </w:r>
      <w:r w:rsidR="00B53598">
        <w:t>2</w:t>
      </w:r>
      <w:r w:rsidR="00BA6D95" w:rsidRPr="0024768B">
        <w:t>.</w:t>
      </w:r>
      <w:r w:rsidR="00BB73E1">
        <w:t>2</w:t>
      </w:r>
      <w:r w:rsidR="00AD4EA0" w:rsidRPr="0024768B">
        <w:tab/>
      </w:r>
      <w:r w:rsidR="007213DE">
        <w:t>Consumer</w:t>
      </w:r>
      <w:r w:rsidR="00AD4EA0" w:rsidRPr="0024768B">
        <w:t xml:space="preserve"> </w:t>
      </w:r>
      <w:r w:rsidR="00906270" w:rsidRPr="0024768B">
        <w:t xml:space="preserve">knowledge, attitudes and behaviours relating to </w:t>
      </w:r>
      <w:r w:rsidR="00AD4EA0" w:rsidRPr="0024768B">
        <w:t>dietary fibre</w:t>
      </w:r>
      <w:bookmarkEnd w:id="32"/>
      <w:r w:rsidR="00D46F12" w:rsidRPr="0024768B">
        <w:t xml:space="preserve"> declarations</w:t>
      </w:r>
    </w:p>
    <w:p w:rsidR="00EB5879" w:rsidRPr="0024768B" w:rsidRDefault="008C4575" w:rsidP="00EB5879">
      <w:bookmarkStart w:id="34" w:name="_Toc11735643"/>
      <w:bookmarkStart w:id="35" w:name="_Toc29883130"/>
      <w:bookmarkStart w:id="36" w:name="_Toc41906817"/>
      <w:bookmarkStart w:id="37" w:name="_Toc41907564"/>
      <w:bookmarkStart w:id="38" w:name="_Toc43112360"/>
      <w:bookmarkEnd w:id="19"/>
      <w:bookmarkEnd w:id="20"/>
      <w:bookmarkEnd w:id="21"/>
      <w:bookmarkEnd w:id="22"/>
      <w:bookmarkEnd w:id="23"/>
      <w:bookmarkEnd w:id="24"/>
      <w:bookmarkEnd w:id="33"/>
      <w:r w:rsidRPr="0024768B">
        <w:t xml:space="preserve">FSANZ has conducted a </w:t>
      </w:r>
      <w:r w:rsidR="006E03EB">
        <w:t>rapid evidence assessment</w:t>
      </w:r>
      <w:r w:rsidR="00326549">
        <w:rPr>
          <w:rStyle w:val="FootnoteReference"/>
        </w:rPr>
        <w:footnoteReference w:id="7"/>
      </w:r>
      <w:r w:rsidR="006E03EB">
        <w:t xml:space="preserve"> </w:t>
      </w:r>
      <w:r w:rsidR="005A0BF7" w:rsidRPr="0024768B">
        <w:t>to</w:t>
      </w:r>
      <w:r w:rsidR="00FE1C5C" w:rsidRPr="0024768B">
        <w:t xml:space="preserve"> consider </w:t>
      </w:r>
      <w:r w:rsidRPr="0024768B">
        <w:t xml:space="preserve">whether mandating total dietary fibre content </w:t>
      </w:r>
      <w:r w:rsidR="0071499D" w:rsidRPr="0024768B">
        <w:t>i</w:t>
      </w:r>
      <w:r w:rsidRPr="0024768B">
        <w:t xml:space="preserve">n the NIP </w:t>
      </w:r>
      <w:r w:rsidR="00D30E90" w:rsidRPr="0024768B">
        <w:t>would</w:t>
      </w:r>
      <w:r w:rsidRPr="0024768B">
        <w:t xml:space="preserve"> provide meaningful information</w:t>
      </w:r>
      <w:r w:rsidR="007213DE">
        <w:t xml:space="preserve"> to consumers</w:t>
      </w:r>
      <w:r w:rsidR="005A0BF7" w:rsidRPr="0024768B">
        <w:t>, and whether this information would</w:t>
      </w:r>
      <w:r w:rsidRPr="0024768B">
        <w:t xml:space="preserve"> influence food purchasing </w:t>
      </w:r>
      <w:r w:rsidR="007213DE">
        <w:t>behaviour</w:t>
      </w:r>
      <w:r w:rsidRPr="0024768B">
        <w:t xml:space="preserve">. </w:t>
      </w:r>
      <w:r w:rsidR="00EB5879" w:rsidRPr="0024768B">
        <w:t xml:space="preserve">The </w:t>
      </w:r>
      <w:r w:rsidR="00F17A38">
        <w:t>rapid evidence assessment</w:t>
      </w:r>
      <w:r w:rsidR="00F17A38" w:rsidRPr="0024768B">
        <w:t xml:space="preserve"> </w:t>
      </w:r>
      <w:r w:rsidR="00EB5879" w:rsidRPr="0024768B">
        <w:t xml:space="preserve">can be found in Supporting Document </w:t>
      </w:r>
      <w:r w:rsidR="007B0809" w:rsidRPr="0024768B">
        <w:t>2</w:t>
      </w:r>
      <w:r w:rsidR="00960DCF" w:rsidRPr="0024768B">
        <w:t>.</w:t>
      </w:r>
      <w:r w:rsidR="00EB5879" w:rsidRPr="0024768B">
        <w:t xml:space="preserve"> </w:t>
      </w:r>
      <w:r w:rsidR="009634B3">
        <w:t xml:space="preserve">In undertaking this </w:t>
      </w:r>
      <w:r w:rsidR="006E03EB">
        <w:t>assessment</w:t>
      </w:r>
      <w:r w:rsidR="009634B3">
        <w:t xml:space="preserve">, FSANZ has noted that there is relatively little literature </w:t>
      </w:r>
      <w:r w:rsidR="00811528">
        <w:t xml:space="preserve">available </w:t>
      </w:r>
      <w:r w:rsidR="009634B3">
        <w:t xml:space="preserve">on </w:t>
      </w:r>
      <w:r w:rsidR="00811528">
        <w:t xml:space="preserve">consumer use and understanding of dietary </w:t>
      </w:r>
      <w:r w:rsidR="009634B3">
        <w:t xml:space="preserve">fibre information in the NIP (or the overseas equivalent of an NIP). </w:t>
      </w:r>
    </w:p>
    <w:p w:rsidR="00EB5879" w:rsidRPr="0024768B" w:rsidRDefault="00EB5879" w:rsidP="00EB5879"/>
    <w:p w:rsidR="008121EA" w:rsidRDefault="006B7FAA" w:rsidP="00685FE4">
      <w:pPr>
        <w:pStyle w:val="FSBullet1"/>
        <w:numPr>
          <w:ilvl w:val="0"/>
          <w:numId w:val="0"/>
        </w:numPr>
      </w:pPr>
      <w:r w:rsidRPr="0024768B">
        <w:t xml:space="preserve">In general, Australian and New Zealand consumers understand that dietary fibre is important and that their intake should be increased, </w:t>
      </w:r>
      <w:r w:rsidR="00725FE8">
        <w:t>al</w:t>
      </w:r>
      <w:r w:rsidRPr="0024768B">
        <w:t xml:space="preserve">though this knowledge is uneven across socio-demographic groups. </w:t>
      </w:r>
      <w:r w:rsidR="00811528">
        <w:t xml:space="preserve">In </w:t>
      </w:r>
      <w:r w:rsidR="002C04ED">
        <w:t>an</w:t>
      </w:r>
      <w:r w:rsidR="00811528">
        <w:t xml:space="preserve"> </w:t>
      </w:r>
      <w:r w:rsidR="002C04ED">
        <w:t>on-line survey carried out in 2007 (Stafford et al. 2008)</w:t>
      </w:r>
      <w:r w:rsidR="00811528">
        <w:t>, it was</w:t>
      </w:r>
      <w:r w:rsidR="00566C02">
        <w:t xml:space="preserve"> </w:t>
      </w:r>
      <w:r w:rsidR="00811528">
        <w:t xml:space="preserve">found that </w:t>
      </w:r>
      <w:r w:rsidR="003D2984">
        <w:t>20</w:t>
      </w:r>
      <w:r w:rsidR="003D2984" w:rsidRPr="0024768B">
        <w:t xml:space="preserve"> </w:t>
      </w:r>
      <w:r w:rsidR="00FF3655" w:rsidRPr="0024768B">
        <w:t>percent of Australian</w:t>
      </w:r>
      <w:r w:rsidR="00960DCF" w:rsidRPr="0024768B">
        <w:t>s</w:t>
      </w:r>
      <w:r w:rsidR="00FF3655" w:rsidRPr="0024768B">
        <w:t xml:space="preserve"> and 17 percent of New Zealanders reported they used </w:t>
      </w:r>
      <w:r w:rsidR="00811528">
        <w:t xml:space="preserve">dietary </w:t>
      </w:r>
      <w:r w:rsidR="00FF3655" w:rsidRPr="0024768B">
        <w:t>fibre information in the NIP when making first time purchases</w:t>
      </w:r>
      <w:r w:rsidR="001C4A31" w:rsidRPr="0024768B">
        <w:t xml:space="preserve">. </w:t>
      </w:r>
      <w:r w:rsidR="00566C02">
        <w:t>By</w:t>
      </w:r>
      <w:r w:rsidR="008121EA">
        <w:t xml:space="preserve"> comparison,</w:t>
      </w:r>
      <w:r w:rsidR="001C4F75">
        <w:t xml:space="preserve"> </w:t>
      </w:r>
      <w:r w:rsidR="00566C02">
        <w:t xml:space="preserve">some </w:t>
      </w:r>
      <w:r w:rsidR="00610027">
        <w:t xml:space="preserve">overseas studies have </w:t>
      </w:r>
      <w:r w:rsidR="00DA2987">
        <w:t>reported</w:t>
      </w:r>
      <w:r w:rsidR="00610027">
        <w:t xml:space="preserve"> higher levels of use of dietary fibre information. However </w:t>
      </w:r>
      <w:r w:rsidR="009F47C2">
        <w:t>both the Australian and New Zealand estimates</w:t>
      </w:r>
      <w:r w:rsidR="00435FC0">
        <w:t>.</w:t>
      </w:r>
      <w:r w:rsidR="009F47C2">
        <w:t xml:space="preserve"> </w:t>
      </w:r>
      <w:r w:rsidR="00435FC0">
        <w:t>T</w:t>
      </w:r>
      <w:r w:rsidR="00610027">
        <w:t>he</w:t>
      </w:r>
      <w:r w:rsidR="00DA2987">
        <w:t>se</w:t>
      </w:r>
      <w:r w:rsidR="00610027">
        <w:t xml:space="preserve"> studies </w:t>
      </w:r>
      <w:r w:rsidR="00435FC0">
        <w:t>utilise</w:t>
      </w:r>
      <w:r w:rsidR="009F47C2">
        <w:t xml:space="preserve"> </w:t>
      </w:r>
      <w:r w:rsidR="00610027">
        <w:t xml:space="preserve">self-reported data, and may </w:t>
      </w:r>
      <w:r w:rsidR="009F47C2">
        <w:t xml:space="preserve">be </w:t>
      </w:r>
      <w:r w:rsidR="00610027">
        <w:t>overestimate</w:t>
      </w:r>
      <w:r w:rsidR="009F47C2">
        <w:t>s</w:t>
      </w:r>
      <w:r w:rsidR="00610027">
        <w:t xml:space="preserve"> </w:t>
      </w:r>
      <w:r w:rsidR="009F47C2">
        <w:t xml:space="preserve">of </w:t>
      </w:r>
      <w:r w:rsidR="00610027">
        <w:t>the use of this information.</w:t>
      </w:r>
      <w:r w:rsidR="00566C02" w:rsidRPr="00566C02">
        <w:t xml:space="preserve"> </w:t>
      </w:r>
      <w:r w:rsidR="00DA2987">
        <w:t>Section 3 of Supporting Document 2 provides further details on studies that have investigated the use of dietary fibre information by consumers.</w:t>
      </w:r>
      <w:r w:rsidR="00DA2987" w:rsidDel="00DA2987">
        <w:t xml:space="preserve"> </w:t>
      </w:r>
    </w:p>
    <w:p w:rsidR="00DA2987" w:rsidRPr="00DA2987" w:rsidRDefault="00DA2987" w:rsidP="00DA2987">
      <w:pPr>
        <w:rPr>
          <w:lang w:bidi="ar-SA"/>
        </w:rPr>
      </w:pPr>
    </w:p>
    <w:p w:rsidR="005729C7" w:rsidRPr="0024768B" w:rsidRDefault="001C4A31" w:rsidP="00685FE4">
      <w:pPr>
        <w:pStyle w:val="FSBullet1"/>
        <w:numPr>
          <w:ilvl w:val="0"/>
          <w:numId w:val="0"/>
        </w:numPr>
        <w:rPr>
          <w:lang w:eastAsia="en-AU"/>
        </w:rPr>
      </w:pPr>
      <w:r w:rsidRPr="0024768B">
        <w:t xml:space="preserve">While often cited as one of the nutrients used when purposely selecting healthier food choices, </w:t>
      </w:r>
      <w:r w:rsidR="008121EA">
        <w:t xml:space="preserve">dietary fibre content </w:t>
      </w:r>
      <w:r w:rsidRPr="0024768B">
        <w:t xml:space="preserve">information is more likely to be used when </w:t>
      </w:r>
      <w:r w:rsidR="00A21F4C">
        <w:t>the</w:t>
      </w:r>
      <w:r w:rsidR="00A21F4C" w:rsidRPr="0024768B">
        <w:t xml:space="preserve"> </w:t>
      </w:r>
      <w:r w:rsidRPr="0024768B">
        <w:t xml:space="preserve">product </w:t>
      </w:r>
      <w:r w:rsidR="00A21F4C">
        <w:t xml:space="preserve">is already </w:t>
      </w:r>
      <w:r w:rsidR="005729C7" w:rsidRPr="0024768B">
        <w:rPr>
          <w:lang w:eastAsia="en-AU"/>
        </w:rPr>
        <w:t>perceive</w:t>
      </w:r>
      <w:r w:rsidRPr="0024768B">
        <w:rPr>
          <w:lang w:eastAsia="en-AU"/>
        </w:rPr>
        <w:t>d</w:t>
      </w:r>
      <w:r w:rsidR="005729C7" w:rsidRPr="0024768B">
        <w:rPr>
          <w:lang w:eastAsia="en-AU"/>
        </w:rPr>
        <w:t xml:space="preserve"> </w:t>
      </w:r>
      <w:r w:rsidRPr="0024768B">
        <w:rPr>
          <w:lang w:eastAsia="en-AU"/>
        </w:rPr>
        <w:t xml:space="preserve">to be </w:t>
      </w:r>
      <w:r w:rsidR="005729C7" w:rsidRPr="0024768B">
        <w:rPr>
          <w:lang w:eastAsia="en-AU"/>
        </w:rPr>
        <w:t xml:space="preserve">a source of dietary fibre, </w:t>
      </w:r>
      <w:r w:rsidR="00FF3655" w:rsidRPr="0024768B">
        <w:rPr>
          <w:lang w:eastAsia="en-AU"/>
        </w:rPr>
        <w:t xml:space="preserve">or </w:t>
      </w:r>
      <w:r w:rsidRPr="0024768B">
        <w:rPr>
          <w:lang w:eastAsia="en-AU"/>
        </w:rPr>
        <w:t xml:space="preserve">when </w:t>
      </w:r>
      <w:r w:rsidR="005729C7" w:rsidRPr="0024768B">
        <w:rPr>
          <w:lang w:eastAsia="en-AU"/>
        </w:rPr>
        <w:t xml:space="preserve">selecting a </w:t>
      </w:r>
      <w:r w:rsidRPr="0024768B">
        <w:rPr>
          <w:lang w:eastAsia="en-AU"/>
        </w:rPr>
        <w:t xml:space="preserve">product </w:t>
      </w:r>
      <w:r w:rsidR="005729C7" w:rsidRPr="0024768B">
        <w:rPr>
          <w:lang w:eastAsia="en-AU"/>
        </w:rPr>
        <w:t xml:space="preserve">for the first time. </w:t>
      </w:r>
      <w:r w:rsidR="00FF3655" w:rsidRPr="0024768B">
        <w:rPr>
          <w:lang w:eastAsia="en-AU"/>
        </w:rPr>
        <w:t>C</w:t>
      </w:r>
      <w:r w:rsidR="005729C7" w:rsidRPr="0024768B">
        <w:rPr>
          <w:lang w:eastAsia="en-AU"/>
        </w:rPr>
        <w:t xml:space="preserve">onsumers may not </w:t>
      </w:r>
      <w:r w:rsidR="00811528">
        <w:rPr>
          <w:lang w:eastAsia="en-AU"/>
        </w:rPr>
        <w:t xml:space="preserve">seek to </w:t>
      </w:r>
      <w:r w:rsidR="00FF3655" w:rsidRPr="0024768B">
        <w:rPr>
          <w:lang w:eastAsia="en-AU"/>
        </w:rPr>
        <w:t xml:space="preserve">use </w:t>
      </w:r>
      <w:r w:rsidR="005729C7" w:rsidRPr="0024768B">
        <w:rPr>
          <w:lang w:eastAsia="en-AU"/>
        </w:rPr>
        <w:t xml:space="preserve">dietary fibre information </w:t>
      </w:r>
      <w:r w:rsidR="00FF3655" w:rsidRPr="0024768B">
        <w:rPr>
          <w:lang w:eastAsia="en-AU"/>
        </w:rPr>
        <w:t xml:space="preserve">where </w:t>
      </w:r>
      <w:r w:rsidR="005729C7" w:rsidRPr="0024768B">
        <w:rPr>
          <w:lang w:eastAsia="en-AU"/>
        </w:rPr>
        <w:t xml:space="preserve">they do not perceive </w:t>
      </w:r>
      <w:r w:rsidR="00FF3655" w:rsidRPr="0024768B">
        <w:rPr>
          <w:lang w:eastAsia="en-AU"/>
        </w:rPr>
        <w:t>the</w:t>
      </w:r>
      <w:r w:rsidR="005729C7" w:rsidRPr="0024768B">
        <w:rPr>
          <w:lang w:eastAsia="en-AU"/>
        </w:rPr>
        <w:t xml:space="preserve"> food as being a source of dietary fibre. </w:t>
      </w:r>
    </w:p>
    <w:p w:rsidR="005729C7" w:rsidRPr="0024768B" w:rsidRDefault="005729C7" w:rsidP="00685FE4"/>
    <w:p w:rsidR="00BD04A3" w:rsidRPr="0024768B" w:rsidRDefault="006B7FAA" w:rsidP="00BD04A3">
      <w:pPr>
        <w:pStyle w:val="FSBullet1"/>
        <w:numPr>
          <w:ilvl w:val="0"/>
          <w:numId w:val="0"/>
        </w:numPr>
      </w:pPr>
      <w:r w:rsidRPr="0024768B">
        <w:t xml:space="preserve">The literature suggests that consumers are more adept at selecting the healthier choice when comparing dietary fibre in two products, than when </w:t>
      </w:r>
      <w:r w:rsidR="00BD04A3" w:rsidRPr="0024768B">
        <w:t xml:space="preserve">assessing </w:t>
      </w:r>
      <w:r w:rsidRPr="0024768B">
        <w:t xml:space="preserve">dietary fibre levels in a single product. The former requires </w:t>
      </w:r>
      <w:r w:rsidR="00BD04A3" w:rsidRPr="0024768B">
        <w:t>the</w:t>
      </w:r>
      <w:r w:rsidRPr="0024768B">
        <w:t xml:space="preserve"> ability to </w:t>
      </w:r>
      <w:r w:rsidR="00BD04A3" w:rsidRPr="0024768B">
        <w:t xml:space="preserve">determine which level of fibre is higher of the two, while the latter requires knowledge of the absolute levels of fibre that is deemed nutritionally important, and which foods are higher or lower in dietary fibre. </w:t>
      </w:r>
    </w:p>
    <w:p w:rsidR="00BD04A3" w:rsidRPr="0024768B" w:rsidRDefault="00BD04A3" w:rsidP="00BD04A3"/>
    <w:p w:rsidR="00DA2987" w:rsidRDefault="00DA2987">
      <w:pPr>
        <w:widowControl/>
        <w:rPr>
          <w:rFonts w:cs="Arial"/>
          <w:lang w:bidi="ar-SA"/>
        </w:rPr>
      </w:pPr>
      <w:r>
        <w:br w:type="page"/>
      </w:r>
    </w:p>
    <w:p w:rsidR="00960DCF" w:rsidRPr="0024768B" w:rsidRDefault="00960DCF" w:rsidP="00960DCF">
      <w:pPr>
        <w:pStyle w:val="FSBullet1"/>
        <w:numPr>
          <w:ilvl w:val="0"/>
          <w:numId w:val="0"/>
        </w:numPr>
      </w:pPr>
      <w:r w:rsidRPr="0024768B">
        <w:lastRenderedPageBreak/>
        <w:t>The format of dietary fibre information on a label is also important. There is some evidence that consumers may not understand the different units used to express dietary fibre and make inferences on the absolute value without reference to the units of the expression. Thus the same quantity of fibre in a food may be interpreted differently when expressed as g/100g than when expressed as %DI</w:t>
      </w:r>
      <w:r w:rsidR="00E61AB2">
        <w:rPr>
          <w:rStyle w:val="FootnoteReference"/>
        </w:rPr>
        <w:footnoteReference w:id="8"/>
      </w:r>
      <w:r w:rsidRPr="0024768B">
        <w:t>.</w:t>
      </w:r>
    </w:p>
    <w:p w:rsidR="00AD40D0" w:rsidRPr="0024768B" w:rsidRDefault="00AD40D0" w:rsidP="00AD40D0">
      <w:pPr>
        <w:rPr>
          <w:lang w:bidi="ar-SA"/>
        </w:rPr>
      </w:pPr>
    </w:p>
    <w:p w:rsidR="008121EA" w:rsidRDefault="008B723C" w:rsidP="0035227E">
      <w:pPr>
        <w:pStyle w:val="FSBullet1"/>
        <w:numPr>
          <w:ilvl w:val="0"/>
          <w:numId w:val="0"/>
        </w:numPr>
      </w:pPr>
      <w:r w:rsidRPr="0024768B">
        <w:t>There were limited studies that explored the impact of dietary fibre information in the NIP on consumption or purchase behaviour. In one study</w:t>
      </w:r>
      <w:r w:rsidR="00B329E8" w:rsidRPr="0024768B">
        <w:t>,</w:t>
      </w:r>
      <w:r w:rsidRPr="0024768B">
        <w:t xml:space="preserve"> where consumers could accurately differentiate between high and low fibre options, this did not translate into </w:t>
      </w:r>
      <w:r w:rsidR="00B602F9" w:rsidRPr="0024768B">
        <w:t xml:space="preserve">increased purchase intent for the healthier option. </w:t>
      </w:r>
      <w:r w:rsidR="007F3990" w:rsidRPr="0024768B">
        <w:t xml:space="preserve">However, the evidence still </w:t>
      </w:r>
      <w:r w:rsidR="0098792C">
        <w:t>shows</w:t>
      </w:r>
      <w:r w:rsidR="0098792C" w:rsidRPr="0024768B">
        <w:t xml:space="preserve"> </w:t>
      </w:r>
      <w:r w:rsidR="007F3990" w:rsidRPr="0024768B">
        <w:t xml:space="preserve">that reading the NIP (or overseas equivalent) </w:t>
      </w:r>
      <w:r w:rsidR="0098792C">
        <w:t xml:space="preserve">is </w:t>
      </w:r>
      <w:r w:rsidR="007F3990" w:rsidRPr="0024768B">
        <w:t>correlate</w:t>
      </w:r>
      <w:r w:rsidR="0098792C">
        <w:t>d</w:t>
      </w:r>
      <w:r w:rsidR="007F3990" w:rsidRPr="0024768B">
        <w:t xml:space="preserve"> with higher dietary fibre intakes.</w:t>
      </w:r>
      <w:r w:rsidR="0035227E">
        <w:t xml:space="preserve"> </w:t>
      </w:r>
    </w:p>
    <w:p w:rsidR="00455764" w:rsidRDefault="00455764" w:rsidP="0035227E">
      <w:pPr>
        <w:pStyle w:val="FSBullet1"/>
        <w:numPr>
          <w:ilvl w:val="0"/>
          <w:numId w:val="0"/>
        </w:numPr>
      </w:pPr>
    </w:p>
    <w:p w:rsidR="0035227E" w:rsidRDefault="006357AC" w:rsidP="0035227E">
      <w:pPr>
        <w:pStyle w:val="FSBullet1"/>
        <w:numPr>
          <w:ilvl w:val="0"/>
          <w:numId w:val="0"/>
        </w:numPr>
      </w:pPr>
      <w:r w:rsidRPr="0024768B">
        <w:t>Overall, t</w:t>
      </w:r>
      <w:r w:rsidR="00F63842" w:rsidRPr="0024768B">
        <w:t xml:space="preserve">he </w:t>
      </w:r>
      <w:r w:rsidR="002C04ED">
        <w:t>limited literature suggests</w:t>
      </w:r>
      <w:r w:rsidR="00421D3E" w:rsidRPr="0024768B">
        <w:t xml:space="preserve"> </w:t>
      </w:r>
      <w:r w:rsidR="00F63842" w:rsidRPr="0024768B">
        <w:t>that there is</w:t>
      </w:r>
      <w:r w:rsidR="005A0BF7" w:rsidRPr="0024768B">
        <w:t xml:space="preserve"> some</w:t>
      </w:r>
      <w:r w:rsidR="00F63842" w:rsidRPr="0024768B">
        <w:t xml:space="preserve"> value to </w:t>
      </w:r>
      <w:r w:rsidR="00B602F9" w:rsidRPr="0024768B">
        <w:t xml:space="preserve">some consumers in </w:t>
      </w:r>
      <w:r w:rsidR="00F63842" w:rsidRPr="0024768B">
        <w:t xml:space="preserve">the display of dietary fibre information </w:t>
      </w:r>
      <w:r w:rsidR="00B602F9" w:rsidRPr="0024768B">
        <w:t>i</w:t>
      </w:r>
      <w:r w:rsidR="00F63842" w:rsidRPr="0024768B">
        <w:t xml:space="preserve">n the NIP. Consumers use this information in making </w:t>
      </w:r>
      <w:r w:rsidR="006B1D54" w:rsidRPr="0024768B">
        <w:t xml:space="preserve">some </w:t>
      </w:r>
      <w:r w:rsidR="00F63842" w:rsidRPr="0024768B">
        <w:t xml:space="preserve">food choices, and the information </w:t>
      </w:r>
      <w:r w:rsidR="006B1D54" w:rsidRPr="0024768B">
        <w:t xml:space="preserve">may </w:t>
      </w:r>
      <w:r w:rsidR="00F63842" w:rsidRPr="0024768B">
        <w:t xml:space="preserve">influence dietary fibre intakes. </w:t>
      </w:r>
      <w:r w:rsidR="006B1D54" w:rsidRPr="0024768B">
        <w:t>Consumers generally understand that they should consume more dietary fibre, and to a lesser extent</w:t>
      </w:r>
      <w:r w:rsidR="00421D3E" w:rsidRPr="0024768B">
        <w:t xml:space="preserve">, they are aware of </w:t>
      </w:r>
      <w:r w:rsidR="006B1D54" w:rsidRPr="0024768B">
        <w:t xml:space="preserve">the nutritional and health benefits </w:t>
      </w:r>
      <w:r w:rsidR="00421D3E" w:rsidRPr="0024768B">
        <w:t xml:space="preserve">dietary fibre may </w:t>
      </w:r>
      <w:r w:rsidR="004238B4">
        <w:t>provide.</w:t>
      </w:r>
    </w:p>
    <w:p w:rsidR="0035227E" w:rsidRDefault="0035227E">
      <w:pPr>
        <w:widowControl/>
        <w:rPr>
          <w:rFonts w:cs="Arial"/>
          <w:lang w:bidi="ar-SA"/>
        </w:rPr>
      </w:pPr>
    </w:p>
    <w:p w:rsidR="006B1D54" w:rsidRPr="0024768B" w:rsidRDefault="0098792C" w:rsidP="0035227E">
      <w:pPr>
        <w:pStyle w:val="FSBullet1"/>
        <w:numPr>
          <w:ilvl w:val="0"/>
          <w:numId w:val="0"/>
        </w:numPr>
      </w:pPr>
      <w:r w:rsidRPr="0024768B">
        <w:t>However</w:t>
      </w:r>
      <w:r w:rsidR="000A4DA2">
        <w:t>,</w:t>
      </w:r>
      <w:r w:rsidRPr="0024768B">
        <w:t xml:space="preserve"> the literature also suggests consumers </w:t>
      </w:r>
      <w:r>
        <w:t xml:space="preserve">are more likely to </w:t>
      </w:r>
      <w:r w:rsidRPr="0024768B">
        <w:t>use this information when selecting products perceived to be high</w:t>
      </w:r>
      <w:r>
        <w:t>er</w:t>
      </w:r>
      <w:r w:rsidRPr="0024768B">
        <w:t xml:space="preserve"> in fibre</w:t>
      </w:r>
      <w:r>
        <w:t xml:space="preserve"> and less likely </w:t>
      </w:r>
      <w:r w:rsidR="004238B4">
        <w:t xml:space="preserve">to use </w:t>
      </w:r>
      <w:r w:rsidR="00D61CD6">
        <w:t>the information</w:t>
      </w:r>
      <w:r w:rsidR="004238B4">
        <w:t xml:space="preserve"> </w:t>
      </w:r>
      <w:r>
        <w:t>when selecting products that are viewed as lower in dietary fibre</w:t>
      </w:r>
      <w:r w:rsidRPr="0024768B">
        <w:t xml:space="preserve">. </w:t>
      </w:r>
      <w:r w:rsidR="00421D3E" w:rsidRPr="0024768B">
        <w:t xml:space="preserve">Knowledge of what constitutes a </w:t>
      </w:r>
      <w:r w:rsidR="008F6959">
        <w:t xml:space="preserve">nutritionally </w:t>
      </w:r>
      <w:r w:rsidR="00421D3E" w:rsidRPr="0024768B">
        <w:t xml:space="preserve">high or low level of dietary fibre is limited. </w:t>
      </w:r>
    </w:p>
    <w:p w:rsidR="00D30E90" w:rsidRPr="0024768B" w:rsidRDefault="00D30E90" w:rsidP="00D30E90">
      <w:pPr>
        <w:pStyle w:val="Heading3"/>
      </w:pPr>
      <w:bookmarkStart w:id="39" w:name="_Toc374540822"/>
      <w:bookmarkStart w:id="40" w:name="_Toc374540824"/>
      <w:r w:rsidRPr="0024768B">
        <w:t>3</w:t>
      </w:r>
      <w:r w:rsidR="00AD40D0" w:rsidRPr="0024768B">
        <w:t>.</w:t>
      </w:r>
      <w:r w:rsidR="00B53598">
        <w:t>2</w:t>
      </w:r>
      <w:r w:rsidR="00BA6D95" w:rsidRPr="0024768B">
        <w:t>.</w:t>
      </w:r>
      <w:r w:rsidR="00BB73E1">
        <w:t>3</w:t>
      </w:r>
      <w:r w:rsidRPr="0024768B">
        <w:tab/>
      </w:r>
      <w:r w:rsidR="00670293" w:rsidRPr="0024768B">
        <w:t>Costs of mandating dietary fibre declarations</w:t>
      </w:r>
      <w:bookmarkEnd w:id="39"/>
    </w:p>
    <w:p w:rsidR="00670293" w:rsidRPr="0024768B" w:rsidRDefault="0043249A" w:rsidP="00670293">
      <w:pPr>
        <w:rPr>
          <w:rFonts w:cs="Arial"/>
        </w:rPr>
      </w:pPr>
      <w:r>
        <w:rPr>
          <w:rFonts w:cs="Arial"/>
        </w:rPr>
        <w:t xml:space="preserve">For the purposes of this </w:t>
      </w:r>
      <w:r w:rsidR="006E03EB">
        <w:rPr>
          <w:rFonts w:cs="Arial"/>
        </w:rPr>
        <w:t>evaluation</w:t>
      </w:r>
      <w:r w:rsidR="000A4DA2">
        <w:rPr>
          <w:rFonts w:cs="Arial"/>
        </w:rPr>
        <w:t>,</w:t>
      </w:r>
      <w:r w:rsidR="006E03EB">
        <w:rPr>
          <w:rFonts w:cs="Arial"/>
        </w:rPr>
        <w:t xml:space="preserve"> </w:t>
      </w:r>
      <w:r>
        <w:rPr>
          <w:rFonts w:cs="Arial"/>
        </w:rPr>
        <w:t xml:space="preserve">FSANZ has </w:t>
      </w:r>
      <w:r w:rsidR="006E03EB">
        <w:rPr>
          <w:rFonts w:cs="Arial"/>
        </w:rPr>
        <w:t xml:space="preserve">only considered </w:t>
      </w:r>
      <w:r>
        <w:rPr>
          <w:rFonts w:cs="Arial"/>
        </w:rPr>
        <w:t xml:space="preserve">the direct cost of changing food labels to include the total dietary fibre content in the NIP </w:t>
      </w:r>
      <w:r w:rsidR="000F0599">
        <w:rPr>
          <w:rFonts w:cs="Arial"/>
        </w:rPr>
        <w:t xml:space="preserve">for all </w:t>
      </w:r>
      <w:r w:rsidR="002E2A4B">
        <w:rPr>
          <w:rFonts w:cs="Arial"/>
        </w:rPr>
        <w:t xml:space="preserve">packaged </w:t>
      </w:r>
      <w:r w:rsidR="000F0599">
        <w:rPr>
          <w:rFonts w:cs="Arial"/>
        </w:rPr>
        <w:t xml:space="preserve">foods. FSANZ has limited this assessment to direct costs as we expect that this would represent the </w:t>
      </w:r>
      <w:r w:rsidR="00326549">
        <w:rPr>
          <w:rFonts w:cs="Arial"/>
        </w:rPr>
        <w:t xml:space="preserve">majority of </w:t>
      </w:r>
      <w:r w:rsidR="000F0599">
        <w:rPr>
          <w:rFonts w:cs="Arial"/>
        </w:rPr>
        <w:t>costs associated with the recommendation. If a regulatory change was to be pursued</w:t>
      </w:r>
      <w:r w:rsidR="000A4DA2">
        <w:rPr>
          <w:rFonts w:cs="Arial"/>
        </w:rPr>
        <w:t>,</w:t>
      </w:r>
      <w:r w:rsidR="000F0599">
        <w:rPr>
          <w:rFonts w:cs="Arial"/>
        </w:rPr>
        <w:t xml:space="preserve"> </w:t>
      </w:r>
      <w:r w:rsidR="000F0599" w:rsidRPr="00834CAD">
        <w:rPr>
          <w:rFonts w:cs="Arial"/>
        </w:rPr>
        <w:t>then a more thorough assessment of all cost</w:t>
      </w:r>
      <w:r w:rsidR="00725FE8" w:rsidRPr="00834CAD">
        <w:rPr>
          <w:rFonts w:cs="Arial"/>
        </w:rPr>
        <w:t>s</w:t>
      </w:r>
      <w:r w:rsidR="000F0599" w:rsidRPr="00834CAD">
        <w:rPr>
          <w:rFonts w:cs="Arial"/>
        </w:rPr>
        <w:t xml:space="preserve"> and benefits would be required in order to satisfy the OBPR RIS requirements</w:t>
      </w:r>
      <w:r w:rsidR="000F0599">
        <w:rPr>
          <w:rFonts w:cs="Arial"/>
        </w:rPr>
        <w:t xml:space="preserve">. Such an assessment would </w:t>
      </w:r>
      <w:r w:rsidR="00326549">
        <w:rPr>
          <w:rFonts w:cs="Arial"/>
        </w:rPr>
        <w:t xml:space="preserve">also </w:t>
      </w:r>
      <w:r w:rsidR="000F0599">
        <w:rPr>
          <w:rFonts w:cs="Arial"/>
        </w:rPr>
        <w:t xml:space="preserve">need to </w:t>
      </w:r>
      <w:r w:rsidR="00670293" w:rsidRPr="0024768B">
        <w:rPr>
          <w:rFonts w:cs="Arial"/>
        </w:rPr>
        <w:t>includ</w:t>
      </w:r>
      <w:r w:rsidR="000F0599">
        <w:rPr>
          <w:rFonts w:cs="Arial"/>
        </w:rPr>
        <w:t xml:space="preserve">e </w:t>
      </w:r>
      <w:r w:rsidR="00670293" w:rsidRPr="0024768B">
        <w:rPr>
          <w:rFonts w:cs="Arial"/>
        </w:rPr>
        <w:t xml:space="preserve">indirect costs on industry, enforcement costs, and costs </w:t>
      </w:r>
      <w:r w:rsidR="005B4051">
        <w:rPr>
          <w:rFonts w:cs="Arial"/>
        </w:rPr>
        <w:t xml:space="preserve">passed on by manufacturers </w:t>
      </w:r>
      <w:r w:rsidR="00670293" w:rsidRPr="0024768B">
        <w:rPr>
          <w:rFonts w:cs="Arial"/>
        </w:rPr>
        <w:t>to consumers</w:t>
      </w:r>
      <w:r w:rsidR="00AD7F15">
        <w:rPr>
          <w:rFonts w:cs="Arial"/>
        </w:rPr>
        <w:t xml:space="preserve">, which would </w:t>
      </w:r>
      <w:r w:rsidR="00725FE8">
        <w:rPr>
          <w:rFonts w:cs="Arial"/>
        </w:rPr>
        <w:t>encompass</w:t>
      </w:r>
      <w:r w:rsidR="00AD7F15">
        <w:rPr>
          <w:rFonts w:cs="Arial"/>
        </w:rPr>
        <w:t xml:space="preserve"> extensive consultation with the food industry and surveying of</w:t>
      </w:r>
      <w:r w:rsidR="00725FE8">
        <w:rPr>
          <w:rFonts w:cs="Arial"/>
        </w:rPr>
        <w:t xml:space="preserve"> the costs that would be incurred by all stakeholders</w:t>
      </w:r>
      <w:r w:rsidR="000F0599">
        <w:rPr>
          <w:rFonts w:cs="Arial"/>
        </w:rPr>
        <w:t>.</w:t>
      </w:r>
      <w:r w:rsidR="000F0599" w:rsidRPr="0024768B" w:rsidDel="000F0599">
        <w:rPr>
          <w:rFonts w:cs="Arial"/>
        </w:rPr>
        <w:t xml:space="preserve"> </w:t>
      </w:r>
      <w:r w:rsidR="00670293" w:rsidRPr="0024768B">
        <w:rPr>
          <w:rFonts w:cs="Arial"/>
        </w:rPr>
        <w:t xml:space="preserve"> </w:t>
      </w:r>
    </w:p>
    <w:p w:rsidR="00670293" w:rsidRPr="0024768B" w:rsidRDefault="00670293" w:rsidP="00670293">
      <w:pPr>
        <w:pStyle w:val="Heading5"/>
      </w:pPr>
      <w:r w:rsidRPr="0024768B">
        <w:t>3.</w:t>
      </w:r>
      <w:r w:rsidR="00B53598">
        <w:t>2.</w:t>
      </w:r>
      <w:r w:rsidR="00BB73E1">
        <w:t>3</w:t>
      </w:r>
      <w:r w:rsidRPr="0024768B">
        <w:t>.1</w:t>
      </w:r>
      <w:r w:rsidRPr="0024768B">
        <w:tab/>
        <w:t xml:space="preserve">General approach to estimating costs of a labelling change </w:t>
      </w:r>
    </w:p>
    <w:p w:rsidR="00670293" w:rsidRPr="0024768B" w:rsidRDefault="00670293" w:rsidP="00670293">
      <w:pPr>
        <w:rPr>
          <w:rFonts w:cs="Arial"/>
        </w:rPr>
      </w:pPr>
      <w:r w:rsidRPr="0024768B">
        <w:rPr>
          <w:rFonts w:cs="Arial"/>
        </w:rPr>
        <w:t xml:space="preserve">To estimate the </w:t>
      </w:r>
      <w:r w:rsidR="00450CF0">
        <w:rPr>
          <w:rFonts w:cs="Arial"/>
        </w:rPr>
        <w:t xml:space="preserve">direct </w:t>
      </w:r>
      <w:r w:rsidRPr="0024768B">
        <w:rPr>
          <w:rFonts w:cs="Arial"/>
        </w:rPr>
        <w:t xml:space="preserve">cost of a labelling change, FSANZ uses </w:t>
      </w:r>
      <w:r w:rsidR="0043249A">
        <w:rPr>
          <w:rFonts w:cs="Arial"/>
        </w:rPr>
        <w:t>a</w:t>
      </w:r>
      <w:r w:rsidRPr="0024768B">
        <w:rPr>
          <w:rFonts w:cs="Arial"/>
        </w:rPr>
        <w:t xml:space="preserve"> model based on labelling cost data collected by PricewaterhouseCoopers (PwC)</w:t>
      </w:r>
      <w:r w:rsidR="00B62923">
        <w:rPr>
          <w:rFonts w:cs="Arial"/>
        </w:rPr>
        <w:t xml:space="preserve"> (Pric</w:t>
      </w:r>
      <w:r w:rsidR="00A13FB6">
        <w:rPr>
          <w:rFonts w:cs="Arial"/>
        </w:rPr>
        <w:t>ewaterhouseCoopers, 2008)</w:t>
      </w:r>
      <w:r w:rsidRPr="0024768B">
        <w:rPr>
          <w:rFonts w:cs="Arial"/>
        </w:rPr>
        <w:t>. The objective of the PwC report was to provide FSANZ with a list of the costs incurred in labelling or relabelling food and beverages to enable FSANZ to estimate cost</w:t>
      </w:r>
      <w:r w:rsidR="00694616">
        <w:rPr>
          <w:rFonts w:cs="Arial"/>
        </w:rPr>
        <w:t>s</w:t>
      </w:r>
      <w:r w:rsidRPr="0024768B">
        <w:rPr>
          <w:rFonts w:cs="Arial"/>
        </w:rPr>
        <w:t xml:space="preserve"> when developing cost</w:t>
      </w:r>
      <w:r w:rsidR="0043249A">
        <w:rPr>
          <w:rFonts w:cs="Arial"/>
        </w:rPr>
        <w:t>-</w:t>
      </w:r>
      <w:r w:rsidRPr="0024768B">
        <w:rPr>
          <w:rFonts w:cs="Arial"/>
        </w:rPr>
        <w:t>benefit analyses</w:t>
      </w:r>
      <w:r w:rsidR="00353EC0">
        <w:rPr>
          <w:rFonts w:cs="Arial"/>
        </w:rPr>
        <w:t xml:space="preserve"> and </w:t>
      </w:r>
      <w:r w:rsidRPr="0024768B">
        <w:rPr>
          <w:rFonts w:cs="Arial"/>
        </w:rPr>
        <w:t>to make an informed assessment of the applicability of labelling costs provided in submissions during industry consultation.</w:t>
      </w:r>
    </w:p>
    <w:p w:rsidR="00670293" w:rsidRPr="0024768B" w:rsidRDefault="00670293" w:rsidP="00670293">
      <w:pPr>
        <w:rPr>
          <w:rFonts w:cs="Arial"/>
        </w:rPr>
      </w:pPr>
    </w:p>
    <w:p w:rsidR="00670293" w:rsidRPr="0024768B" w:rsidRDefault="00670293" w:rsidP="00670293">
      <w:pPr>
        <w:rPr>
          <w:rFonts w:cs="Arial"/>
        </w:rPr>
      </w:pPr>
      <w:r w:rsidRPr="0024768B">
        <w:rPr>
          <w:rFonts w:cs="Arial"/>
        </w:rPr>
        <w:t xml:space="preserve">The model breaks down labelling costs into the following components: labelling design, labelling production, proofing, package redesign and labour. It categorises labelling changes into one of three categories (minor, medium and major). A minor change is a change to text and one printing plate only. A medium change is a change to text and/or label layout, change to three printing plates </w:t>
      </w:r>
      <w:r w:rsidR="00E342E4">
        <w:rPr>
          <w:rFonts w:cs="Arial"/>
        </w:rPr>
        <w:t xml:space="preserve">and </w:t>
      </w:r>
      <w:r w:rsidRPr="0024768B">
        <w:rPr>
          <w:rFonts w:cs="Arial"/>
        </w:rPr>
        <w:t xml:space="preserve">proofing being required. A major change is a change to text and/or label layout, change to six printing plates, proofing being required and changes to packaging shape/size/design. The model also provides different specific costs depending on the material and packaging type being changed (flexible, fibre, plastic, metal and glass). </w:t>
      </w:r>
      <w:r w:rsidRPr="0024768B">
        <w:rPr>
          <w:rFonts w:cs="Arial"/>
        </w:rPr>
        <w:lastRenderedPageBreak/>
        <w:t>Costs are also differentiated as labour and non-labour costs. Costs are provided as an average cost per</w:t>
      </w:r>
      <w:r w:rsidR="00BE06C4">
        <w:rPr>
          <w:rFonts w:cs="Arial"/>
        </w:rPr>
        <w:t xml:space="preserve"> </w:t>
      </w:r>
      <w:r w:rsidRPr="0024768B">
        <w:rPr>
          <w:rFonts w:cs="Arial"/>
        </w:rPr>
        <w:t>SKU</w:t>
      </w:r>
      <w:r w:rsidR="001D11E5">
        <w:rPr>
          <w:rStyle w:val="FootnoteReference"/>
          <w:rFonts w:cs="Arial"/>
        </w:rPr>
        <w:footnoteReference w:id="9"/>
      </w:r>
      <w:r w:rsidRPr="0024768B">
        <w:rPr>
          <w:rFonts w:cs="Arial"/>
        </w:rPr>
        <w:t xml:space="preserve"> for each material and degree of change (</w:t>
      </w:r>
      <w:r w:rsidR="009A381D" w:rsidRPr="0024768B">
        <w:rPr>
          <w:rFonts w:cs="Arial"/>
        </w:rPr>
        <w:t xml:space="preserve">see </w:t>
      </w:r>
      <w:r w:rsidRPr="0024768B">
        <w:rPr>
          <w:rFonts w:cs="Arial"/>
        </w:rPr>
        <w:t xml:space="preserve">Table </w:t>
      </w:r>
      <w:r w:rsidR="009A381D" w:rsidRPr="0024768B">
        <w:rPr>
          <w:rFonts w:cs="Arial"/>
        </w:rPr>
        <w:t>2 below</w:t>
      </w:r>
      <w:r w:rsidRPr="0024768B">
        <w:rPr>
          <w:rFonts w:cs="Arial"/>
        </w:rPr>
        <w:t>).</w:t>
      </w:r>
    </w:p>
    <w:p w:rsidR="00834CAD" w:rsidRDefault="00834CAD" w:rsidP="00E40E2F">
      <w:pPr>
        <w:widowControl/>
        <w:rPr>
          <w:rFonts w:cs="Arial"/>
        </w:rPr>
      </w:pPr>
    </w:p>
    <w:p w:rsidR="00670293" w:rsidRPr="00822C92" w:rsidRDefault="00670293" w:rsidP="00E40E2F">
      <w:pPr>
        <w:widowControl/>
        <w:rPr>
          <w:rFonts w:cs="Arial"/>
          <w:szCs w:val="22"/>
        </w:rPr>
      </w:pPr>
      <w:r w:rsidRPr="0024768B">
        <w:rPr>
          <w:rFonts w:cs="Arial"/>
        </w:rPr>
        <w:t xml:space="preserve">The model does not take into consideration indirect costs such as the write-off of stock in hand, </w:t>
      </w:r>
      <w:r w:rsidR="009121D2">
        <w:rPr>
          <w:rFonts w:cs="Arial"/>
        </w:rPr>
        <w:t xml:space="preserve">reformulation, </w:t>
      </w:r>
      <w:r w:rsidRPr="0024768B">
        <w:rPr>
          <w:rFonts w:cs="Arial"/>
        </w:rPr>
        <w:t xml:space="preserve">product testing, marketing costs or administrative costs. </w:t>
      </w:r>
      <w:r w:rsidR="00822C92">
        <w:rPr>
          <w:rFonts w:cs="Arial"/>
        </w:rPr>
        <w:t>Factors that affect indirect costs are also not part of the model</w:t>
      </w:r>
      <w:r w:rsidR="00842B62">
        <w:rPr>
          <w:rFonts w:cs="Arial"/>
        </w:rPr>
        <w:t>;</w:t>
      </w:r>
      <w:r w:rsidR="00822C92">
        <w:rPr>
          <w:rFonts w:cs="Arial"/>
        </w:rPr>
        <w:t xml:space="preserve"> </w:t>
      </w:r>
      <w:r w:rsidR="00842B62">
        <w:rPr>
          <w:rFonts w:cs="Arial"/>
        </w:rPr>
        <w:t>for example,</w:t>
      </w:r>
      <w:r w:rsidR="00822C92">
        <w:rPr>
          <w:rFonts w:cs="Arial"/>
        </w:rPr>
        <w:t xml:space="preserve"> </w:t>
      </w:r>
      <w:r w:rsidR="00AC5A2A">
        <w:rPr>
          <w:rFonts w:cs="Arial"/>
          <w:szCs w:val="22"/>
          <w:lang w:eastAsia="en-GB" w:bidi="ar-SA"/>
        </w:rPr>
        <w:t>the costs to a manufacturer can be reduced</w:t>
      </w:r>
      <w:r w:rsidR="00AC5A2A">
        <w:rPr>
          <w:rFonts w:cs="Arial"/>
        </w:rPr>
        <w:t xml:space="preserve"> if </w:t>
      </w:r>
      <w:r w:rsidR="00822C92">
        <w:rPr>
          <w:rFonts w:cs="Arial"/>
        </w:rPr>
        <w:t xml:space="preserve">the length of a </w:t>
      </w:r>
      <w:r w:rsidR="00822C92" w:rsidRPr="00822C92">
        <w:rPr>
          <w:rFonts w:cs="Arial"/>
          <w:szCs w:val="22"/>
        </w:rPr>
        <w:t xml:space="preserve">transition period </w:t>
      </w:r>
      <w:r w:rsidR="00AC5A2A">
        <w:rPr>
          <w:rFonts w:cs="Arial"/>
          <w:szCs w:val="22"/>
        </w:rPr>
        <w:t xml:space="preserve">for a labelling change </w:t>
      </w:r>
      <w:r w:rsidR="00842B62">
        <w:rPr>
          <w:rFonts w:cs="Arial"/>
          <w:szCs w:val="22"/>
        </w:rPr>
        <w:t>encompass</w:t>
      </w:r>
      <w:r w:rsidR="00AC5A2A">
        <w:rPr>
          <w:rFonts w:cs="Arial"/>
          <w:szCs w:val="22"/>
        </w:rPr>
        <w:t>es</w:t>
      </w:r>
      <w:r w:rsidR="00842B62">
        <w:rPr>
          <w:rFonts w:cs="Arial"/>
          <w:szCs w:val="22"/>
        </w:rPr>
        <w:t xml:space="preserve"> the normal lifecycle of </w:t>
      </w:r>
      <w:r w:rsidR="00822C92" w:rsidRPr="00822C92">
        <w:rPr>
          <w:rFonts w:cs="Arial"/>
          <w:szCs w:val="22"/>
          <w:lang w:eastAsia="en-GB" w:bidi="ar-SA"/>
        </w:rPr>
        <w:t>packaging changes</w:t>
      </w:r>
      <w:r w:rsidR="00822C92">
        <w:rPr>
          <w:rFonts w:cs="Arial"/>
          <w:szCs w:val="22"/>
          <w:lang w:eastAsia="en-GB" w:bidi="ar-SA"/>
        </w:rPr>
        <w:t>.</w:t>
      </w:r>
    </w:p>
    <w:p w:rsidR="00670293" w:rsidRPr="0024768B" w:rsidRDefault="00670293" w:rsidP="00670293">
      <w:pPr>
        <w:rPr>
          <w:rFonts w:cs="Arial"/>
        </w:rPr>
      </w:pPr>
    </w:p>
    <w:p w:rsidR="00670293" w:rsidRPr="0024768B" w:rsidRDefault="00670293" w:rsidP="00DA2987">
      <w:pPr>
        <w:widowControl/>
        <w:rPr>
          <w:color w:val="000000"/>
        </w:rPr>
      </w:pPr>
      <w:r w:rsidRPr="0024768B">
        <w:rPr>
          <w:rFonts w:cs="Arial"/>
        </w:rPr>
        <w:t xml:space="preserve">The </w:t>
      </w:r>
      <w:r w:rsidR="00DA2987" w:rsidRPr="0024768B">
        <w:rPr>
          <w:rFonts w:cs="Arial"/>
        </w:rPr>
        <w:t xml:space="preserve">PwC </w:t>
      </w:r>
      <w:r w:rsidRPr="0024768B">
        <w:rPr>
          <w:rFonts w:cs="Arial"/>
        </w:rPr>
        <w:t xml:space="preserve">costing data </w:t>
      </w:r>
      <w:r w:rsidR="00834CAD">
        <w:rPr>
          <w:rFonts w:cs="Arial"/>
        </w:rPr>
        <w:t xml:space="preserve">was collected in 2007, and </w:t>
      </w:r>
      <w:r w:rsidRPr="0024768B">
        <w:rPr>
          <w:rFonts w:cs="Arial"/>
        </w:rPr>
        <w:t xml:space="preserve">has been indexed using the </w:t>
      </w:r>
      <w:r w:rsidRPr="0024768B">
        <w:t>Producer Price Index (PPI)</w:t>
      </w:r>
      <w:r w:rsidR="005236CC">
        <w:t xml:space="preserve"> (</w:t>
      </w:r>
      <w:r w:rsidR="00E342E4">
        <w:t>Australian Bureau of Statistics</w:t>
      </w:r>
      <w:r w:rsidR="00A13FB6">
        <w:t>, 2013)</w:t>
      </w:r>
      <w:r w:rsidRPr="0024768B">
        <w:t xml:space="preserve">. </w:t>
      </w:r>
      <w:r w:rsidR="00834CAD">
        <w:t xml:space="preserve">This is the most </w:t>
      </w:r>
      <w:r w:rsidR="00EA04F0">
        <w:t>up-to-date</w:t>
      </w:r>
      <w:r w:rsidR="00834CAD">
        <w:t xml:space="preserve"> data that FSANZ has on labelling costs</w:t>
      </w:r>
      <w:r w:rsidR="00EA04F0">
        <w:t>.</w:t>
      </w:r>
      <w:r w:rsidR="00834CAD">
        <w:t xml:space="preserve"> </w:t>
      </w:r>
      <w:r w:rsidR="00EA04F0">
        <w:t>H</w:t>
      </w:r>
      <w:r w:rsidR="00834CAD">
        <w:t xml:space="preserve">owever we note that labelling technology </w:t>
      </w:r>
      <w:r w:rsidR="00E22942">
        <w:t>may have changed</w:t>
      </w:r>
      <w:r w:rsidR="00834CAD">
        <w:t xml:space="preserve"> since 2007</w:t>
      </w:r>
      <w:r w:rsidR="00EA04F0">
        <w:t xml:space="preserve">, which may also </w:t>
      </w:r>
      <w:r w:rsidR="007765A1">
        <w:t xml:space="preserve">have an </w:t>
      </w:r>
      <w:r w:rsidR="00EA04F0">
        <w:t xml:space="preserve">impact on costs. </w:t>
      </w:r>
    </w:p>
    <w:p w:rsidR="00670293" w:rsidRPr="0024768B" w:rsidRDefault="00670293" w:rsidP="00670293">
      <w:pPr>
        <w:rPr>
          <w:color w:val="000000"/>
        </w:rPr>
      </w:pPr>
    </w:p>
    <w:p w:rsidR="00670293" w:rsidRPr="0024768B" w:rsidRDefault="00670293" w:rsidP="00670293">
      <w:pPr>
        <w:rPr>
          <w:b/>
        </w:rPr>
      </w:pPr>
      <w:r w:rsidRPr="0024768B">
        <w:rPr>
          <w:b/>
        </w:rPr>
        <w:t xml:space="preserve">Table </w:t>
      </w:r>
      <w:r w:rsidR="009A381D" w:rsidRPr="0024768B">
        <w:rPr>
          <w:b/>
        </w:rPr>
        <w:t>2</w:t>
      </w:r>
      <w:r w:rsidRPr="0024768B">
        <w:rPr>
          <w:b/>
        </w:rPr>
        <w:t xml:space="preserve">: Direct cost of labelling change in 2013 </w:t>
      </w:r>
      <w:r w:rsidR="00450CF0">
        <w:rPr>
          <w:b/>
        </w:rPr>
        <w:t>(A</w:t>
      </w:r>
      <w:r w:rsidR="00865119">
        <w:rPr>
          <w:b/>
        </w:rPr>
        <w:t>U</w:t>
      </w:r>
      <w:r w:rsidR="00450CF0">
        <w:rPr>
          <w:b/>
        </w:rPr>
        <w:t>$)</w:t>
      </w:r>
      <w:r w:rsidR="00D80307">
        <w:rPr>
          <w:b/>
        </w:rPr>
        <w:t>*</w:t>
      </w:r>
      <w:r w:rsidRPr="0024768B">
        <w:rPr>
          <w:b/>
        </w:rPr>
        <w:t>.</w:t>
      </w:r>
    </w:p>
    <w:p w:rsidR="00670293" w:rsidRPr="0024768B" w:rsidRDefault="00670293" w:rsidP="00670293">
      <w:pPr>
        <w:rPr>
          <w:rFonts w:cs="Arial"/>
        </w:rPr>
      </w:pPr>
    </w:p>
    <w:tbl>
      <w:tblPr>
        <w:tblStyle w:val="TableGrid"/>
        <w:tblW w:w="9606"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1809"/>
        <w:gridCol w:w="1418"/>
        <w:gridCol w:w="1134"/>
        <w:gridCol w:w="1134"/>
        <w:gridCol w:w="1134"/>
        <w:gridCol w:w="1134"/>
        <w:gridCol w:w="1843"/>
      </w:tblGrid>
      <w:tr w:rsidR="00E31B7D" w:rsidRPr="0024768B" w:rsidTr="00E31B7D">
        <w:tc>
          <w:tcPr>
            <w:tcW w:w="1809" w:type="dxa"/>
            <w:vMerge w:val="restart"/>
            <w:tcBorders>
              <w:top w:val="single" w:sz="4" w:space="0" w:color="auto"/>
              <w:left w:val="single" w:sz="4" w:space="0" w:color="auto"/>
              <w:bottom w:val="single" w:sz="4" w:space="0" w:color="auto"/>
            </w:tcBorders>
            <w:shd w:val="clear" w:color="auto" w:fill="DBE5F1" w:themeFill="accent1" w:themeFillTint="33"/>
          </w:tcPr>
          <w:p w:rsidR="00E31B7D" w:rsidRPr="00E31B7D" w:rsidRDefault="00E31B7D" w:rsidP="00073ECD">
            <w:pPr>
              <w:jc w:val="center"/>
              <w:rPr>
                <w:rFonts w:asciiTheme="minorHAnsi" w:hAnsiTheme="minorHAnsi" w:cs="Arial"/>
              </w:rPr>
            </w:pPr>
            <w:r w:rsidRPr="00E31B7D">
              <w:rPr>
                <w:rFonts w:asciiTheme="minorHAnsi" w:hAnsiTheme="minorHAnsi" w:cs="Arial"/>
                <w:b/>
              </w:rPr>
              <w:t>Degree of change</w:t>
            </w:r>
          </w:p>
        </w:tc>
        <w:tc>
          <w:tcPr>
            <w:tcW w:w="7797" w:type="dxa"/>
            <w:gridSpan w:val="6"/>
            <w:tcBorders>
              <w:top w:val="single" w:sz="4" w:space="0" w:color="auto"/>
              <w:bottom w:val="single" w:sz="4" w:space="0" w:color="auto"/>
            </w:tcBorders>
            <w:shd w:val="clear" w:color="auto" w:fill="DBE5F1" w:themeFill="accent1" w:themeFillTint="33"/>
          </w:tcPr>
          <w:p w:rsidR="00E31B7D" w:rsidRPr="0024768B" w:rsidRDefault="00E31B7D" w:rsidP="00073ECD">
            <w:pPr>
              <w:jc w:val="center"/>
              <w:rPr>
                <w:rFonts w:asciiTheme="minorHAnsi" w:hAnsiTheme="minorHAnsi" w:cs="Arial"/>
                <w:b/>
              </w:rPr>
            </w:pPr>
            <w:r w:rsidRPr="0024768B">
              <w:rPr>
                <w:rFonts w:asciiTheme="minorHAnsi" w:hAnsiTheme="minorHAnsi" w:cs="Arial"/>
                <w:b/>
              </w:rPr>
              <w:t>Packaging Material Cost of Change per SKU</w:t>
            </w:r>
          </w:p>
        </w:tc>
      </w:tr>
      <w:tr w:rsidR="00E31B7D" w:rsidRPr="0024768B" w:rsidTr="00E31B7D">
        <w:tc>
          <w:tcPr>
            <w:tcW w:w="1809" w:type="dxa"/>
            <w:vMerge/>
            <w:tcBorders>
              <w:top w:val="nil"/>
              <w:bottom w:val="single" w:sz="4" w:space="0" w:color="auto"/>
            </w:tcBorders>
            <w:shd w:val="clear" w:color="auto" w:fill="DBE5F1" w:themeFill="accent1" w:themeFillTint="33"/>
          </w:tcPr>
          <w:p w:rsidR="00E31B7D" w:rsidRPr="00E31B7D" w:rsidRDefault="00E31B7D" w:rsidP="00073ECD">
            <w:pPr>
              <w:rPr>
                <w:rFonts w:asciiTheme="minorHAnsi" w:hAnsiTheme="minorHAnsi" w:cs="Arial"/>
                <w:b/>
              </w:rPr>
            </w:pPr>
          </w:p>
        </w:tc>
        <w:tc>
          <w:tcPr>
            <w:tcW w:w="1418" w:type="dxa"/>
            <w:tcBorders>
              <w:top w:val="single" w:sz="4" w:space="0" w:color="auto"/>
              <w:bottom w:val="single" w:sz="4" w:space="0" w:color="auto"/>
              <w:right w:val="nil"/>
            </w:tcBorders>
            <w:shd w:val="clear" w:color="auto" w:fill="DBE5F1" w:themeFill="accent1" w:themeFillTint="33"/>
            <w:vAlign w:val="center"/>
          </w:tcPr>
          <w:p w:rsidR="00E31B7D" w:rsidRPr="0024768B" w:rsidRDefault="00E31B7D" w:rsidP="00073ECD">
            <w:pPr>
              <w:jc w:val="center"/>
              <w:rPr>
                <w:rFonts w:asciiTheme="minorHAnsi" w:hAnsiTheme="minorHAnsi" w:cs="Arial"/>
                <w:b/>
              </w:rPr>
            </w:pPr>
            <w:r w:rsidRPr="0024768B">
              <w:rPr>
                <w:rFonts w:asciiTheme="minorHAnsi" w:hAnsiTheme="minorHAnsi" w:cs="Arial"/>
                <w:b/>
              </w:rPr>
              <w:t>Flexible</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rsidR="00E31B7D" w:rsidRPr="0024768B" w:rsidRDefault="00E31B7D" w:rsidP="00073ECD">
            <w:pPr>
              <w:jc w:val="center"/>
              <w:rPr>
                <w:rFonts w:asciiTheme="minorHAnsi" w:hAnsiTheme="minorHAnsi" w:cs="Arial"/>
                <w:b/>
              </w:rPr>
            </w:pPr>
            <w:r w:rsidRPr="0024768B">
              <w:rPr>
                <w:rFonts w:asciiTheme="minorHAnsi" w:hAnsiTheme="minorHAnsi" w:cs="Arial"/>
                <w:b/>
              </w:rPr>
              <w:t>Fibre</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rsidR="00E31B7D" w:rsidRPr="0024768B" w:rsidRDefault="00E31B7D" w:rsidP="00073ECD">
            <w:pPr>
              <w:jc w:val="center"/>
              <w:rPr>
                <w:rFonts w:asciiTheme="minorHAnsi" w:hAnsiTheme="minorHAnsi" w:cs="Arial"/>
                <w:b/>
              </w:rPr>
            </w:pPr>
            <w:r w:rsidRPr="0024768B">
              <w:rPr>
                <w:rFonts w:asciiTheme="minorHAnsi" w:hAnsiTheme="minorHAnsi" w:cs="Arial"/>
                <w:b/>
              </w:rPr>
              <w:t>Plastic</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rsidR="00E31B7D" w:rsidRPr="0024768B" w:rsidRDefault="00E31B7D" w:rsidP="00073ECD">
            <w:pPr>
              <w:jc w:val="center"/>
              <w:rPr>
                <w:rFonts w:asciiTheme="minorHAnsi" w:hAnsiTheme="minorHAnsi" w:cs="Arial"/>
                <w:b/>
              </w:rPr>
            </w:pPr>
            <w:r w:rsidRPr="0024768B">
              <w:rPr>
                <w:rFonts w:asciiTheme="minorHAnsi" w:hAnsiTheme="minorHAnsi" w:cs="Arial"/>
                <w:b/>
              </w:rPr>
              <w:t>Metal</w:t>
            </w:r>
          </w:p>
        </w:tc>
        <w:tc>
          <w:tcPr>
            <w:tcW w:w="1134" w:type="dxa"/>
            <w:tcBorders>
              <w:top w:val="single" w:sz="4" w:space="0" w:color="auto"/>
              <w:left w:val="nil"/>
              <w:bottom w:val="single" w:sz="4" w:space="0" w:color="auto"/>
              <w:right w:val="nil"/>
            </w:tcBorders>
            <w:shd w:val="clear" w:color="auto" w:fill="DBE5F1" w:themeFill="accent1" w:themeFillTint="33"/>
            <w:vAlign w:val="center"/>
          </w:tcPr>
          <w:p w:rsidR="00E31B7D" w:rsidRPr="0024768B" w:rsidRDefault="00E31B7D" w:rsidP="00073ECD">
            <w:pPr>
              <w:jc w:val="center"/>
              <w:rPr>
                <w:rFonts w:asciiTheme="minorHAnsi" w:hAnsiTheme="minorHAnsi" w:cs="Arial"/>
                <w:b/>
              </w:rPr>
            </w:pPr>
            <w:r w:rsidRPr="0024768B">
              <w:rPr>
                <w:rFonts w:asciiTheme="minorHAnsi" w:hAnsiTheme="minorHAnsi" w:cs="Arial"/>
                <w:b/>
              </w:rPr>
              <w:t>Glass</w:t>
            </w:r>
          </w:p>
        </w:tc>
        <w:tc>
          <w:tcPr>
            <w:tcW w:w="1843" w:type="dxa"/>
            <w:tcBorders>
              <w:top w:val="single" w:sz="4" w:space="0" w:color="auto"/>
              <w:left w:val="nil"/>
              <w:bottom w:val="single" w:sz="4" w:space="0" w:color="auto"/>
            </w:tcBorders>
            <w:shd w:val="clear" w:color="auto" w:fill="DBE5F1" w:themeFill="accent1" w:themeFillTint="33"/>
            <w:vAlign w:val="center"/>
          </w:tcPr>
          <w:p w:rsidR="00E31B7D" w:rsidRPr="0024768B" w:rsidRDefault="00E31B7D" w:rsidP="00073ECD">
            <w:pPr>
              <w:jc w:val="center"/>
              <w:rPr>
                <w:rFonts w:asciiTheme="minorHAnsi" w:hAnsiTheme="minorHAnsi" w:cs="Arial"/>
                <w:b/>
              </w:rPr>
            </w:pPr>
            <w:r w:rsidRPr="0024768B">
              <w:rPr>
                <w:rFonts w:asciiTheme="minorHAnsi" w:hAnsiTheme="minorHAnsi" w:cs="Arial"/>
                <w:b/>
              </w:rPr>
              <w:t>Average per SKU</w:t>
            </w:r>
          </w:p>
        </w:tc>
      </w:tr>
      <w:tr w:rsidR="00670293" w:rsidRPr="0024768B" w:rsidTr="00E31B7D">
        <w:tc>
          <w:tcPr>
            <w:tcW w:w="1809" w:type="dxa"/>
            <w:tcBorders>
              <w:top w:val="single" w:sz="4" w:space="0" w:color="auto"/>
              <w:bottom w:val="single" w:sz="4" w:space="0" w:color="auto"/>
              <w:right w:val="single" w:sz="4" w:space="0" w:color="auto"/>
            </w:tcBorders>
          </w:tcPr>
          <w:p w:rsidR="00670293" w:rsidRPr="00E31B7D" w:rsidRDefault="00670293" w:rsidP="00E31B7D">
            <w:pPr>
              <w:spacing w:before="60" w:after="60"/>
              <w:rPr>
                <w:rFonts w:asciiTheme="minorHAnsi" w:hAnsiTheme="minorHAnsi" w:cs="Arial"/>
              </w:rPr>
            </w:pPr>
            <w:r w:rsidRPr="00E31B7D">
              <w:rPr>
                <w:rFonts w:asciiTheme="minorHAnsi" w:hAnsiTheme="minorHAnsi" w:cs="Arial"/>
              </w:rPr>
              <w:t>Minor</w:t>
            </w:r>
          </w:p>
        </w:tc>
        <w:tc>
          <w:tcPr>
            <w:tcW w:w="1418" w:type="dxa"/>
            <w:tcBorders>
              <w:top w:val="single" w:sz="4" w:space="0" w:color="auto"/>
              <w:left w:val="single" w:sz="4" w:space="0" w:color="auto"/>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$3,466</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$3,423</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$4,473</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$4,491</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$4,217</w:t>
            </w:r>
          </w:p>
        </w:tc>
        <w:tc>
          <w:tcPr>
            <w:tcW w:w="1843" w:type="dxa"/>
            <w:tcBorders>
              <w:top w:val="single" w:sz="4" w:space="0" w:color="auto"/>
              <w:left w:val="nil"/>
              <w:bottom w:val="single" w:sz="4" w:space="0" w:color="auto"/>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$4,014</w:t>
            </w:r>
          </w:p>
        </w:tc>
      </w:tr>
      <w:tr w:rsidR="00670293" w:rsidRPr="0024768B" w:rsidTr="00E31B7D">
        <w:tc>
          <w:tcPr>
            <w:tcW w:w="1809" w:type="dxa"/>
            <w:tcBorders>
              <w:top w:val="single" w:sz="4" w:space="0" w:color="auto"/>
              <w:bottom w:val="single" w:sz="4" w:space="0" w:color="auto"/>
              <w:right w:val="single" w:sz="4" w:space="0" w:color="auto"/>
            </w:tcBorders>
          </w:tcPr>
          <w:p w:rsidR="00670293" w:rsidRPr="00E31B7D" w:rsidRDefault="00670293" w:rsidP="00E31B7D">
            <w:pPr>
              <w:spacing w:before="60" w:after="60"/>
              <w:rPr>
                <w:rFonts w:asciiTheme="minorHAnsi" w:hAnsiTheme="minorHAnsi" w:cs="Arial"/>
              </w:rPr>
            </w:pPr>
            <w:r w:rsidRPr="00E31B7D">
              <w:rPr>
                <w:rFonts w:asciiTheme="minorHAnsi" w:hAnsiTheme="minorHAnsi" w:cs="Arial"/>
              </w:rPr>
              <w:t>Medium</w:t>
            </w:r>
          </w:p>
        </w:tc>
        <w:tc>
          <w:tcPr>
            <w:tcW w:w="1418" w:type="dxa"/>
            <w:tcBorders>
              <w:top w:val="single" w:sz="4" w:space="0" w:color="auto"/>
              <w:left w:val="single" w:sz="4" w:space="0" w:color="auto"/>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$8,463</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$9,175</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$11,161</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$6,800</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$9,750</w:t>
            </w:r>
          </w:p>
        </w:tc>
        <w:tc>
          <w:tcPr>
            <w:tcW w:w="1843" w:type="dxa"/>
            <w:tcBorders>
              <w:top w:val="single" w:sz="4" w:space="0" w:color="auto"/>
              <w:left w:val="nil"/>
              <w:bottom w:val="single" w:sz="4" w:space="0" w:color="auto"/>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$9,070</w:t>
            </w:r>
          </w:p>
        </w:tc>
      </w:tr>
      <w:tr w:rsidR="00670293" w:rsidRPr="0024768B" w:rsidTr="00E31B7D">
        <w:tc>
          <w:tcPr>
            <w:tcW w:w="1809" w:type="dxa"/>
            <w:tcBorders>
              <w:top w:val="single" w:sz="4" w:space="0" w:color="auto"/>
              <w:bottom w:val="single" w:sz="4" w:space="0" w:color="auto"/>
              <w:right w:val="single" w:sz="4" w:space="0" w:color="auto"/>
            </w:tcBorders>
          </w:tcPr>
          <w:p w:rsidR="00670293" w:rsidRPr="00E31B7D" w:rsidRDefault="00670293" w:rsidP="00E31B7D">
            <w:pPr>
              <w:spacing w:before="60" w:after="60"/>
              <w:rPr>
                <w:rFonts w:asciiTheme="minorHAnsi" w:hAnsiTheme="minorHAnsi" w:cs="Arial"/>
              </w:rPr>
            </w:pPr>
            <w:r w:rsidRPr="00E31B7D">
              <w:rPr>
                <w:rFonts w:asciiTheme="minorHAnsi" w:hAnsiTheme="minorHAnsi" w:cs="Arial"/>
              </w:rPr>
              <w:t>Major</w:t>
            </w:r>
          </w:p>
        </w:tc>
        <w:tc>
          <w:tcPr>
            <w:tcW w:w="1418" w:type="dxa"/>
            <w:tcBorders>
              <w:top w:val="single" w:sz="4" w:space="0" w:color="auto"/>
              <w:left w:val="single" w:sz="4" w:space="0" w:color="auto"/>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$21,062</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$20,302</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$27,002</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$17,600</w:t>
            </w:r>
          </w:p>
        </w:tc>
        <w:tc>
          <w:tcPr>
            <w:tcW w:w="1134" w:type="dxa"/>
            <w:tcBorders>
              <w:top w:val="single" w:sz="4" w:space="0" w:color="auto"/>
              <w:left w:val="nil"/>
              <w:bottom w:val="single" w:sz="4" w:space="0" w:color="auto"/>
              <w:right w:val="nil"/>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$17,462</w:t>
            </w:r>
          </w:p>
        </w:tc>
        <w:tc>
          <w:tcPr>
            <w:tcW w:w="1843" w:type="dxa"/>
            <w:tcBorders>
              <w:top w:val="single" w:sz="4" w:space="0" w:color="auto"/>
              <w:left w:val="nil"/>
              <w:bottom w:val="single" w:sz="4" w:space="0" w:color="auto"/>
            </w:tcBorders>
            <w:vAlign w:val="center"/>
          </w:tcPr>
          <w:p w:rsidR="00670293" w:rsidRPr="0024768B" w:rsidRDefault="00670293" w:rsidP="00E31B7D">
            <w:pPr>
              <w:jc w:val="center"/>
              <w:rPr>
                <w:rFonts w:asciiTheme="minorHAnsi" w:hAnsiTheme="minorHAnsi"/>
              </w:rPr>
            </w:pPr>
            <w:r w:rsidRPr="0024768B">
              <w:rPr>
                <w:rFonts w:asciiTheme="minorHAnsi" w:hAnsiTheme="minorHAnsi"/>
              </w:rPr>
              <w:t>$20,686</w:t>
            </w:r>
          </w:p>
        </w:tc>
      </w:tr>
    </w:tbl>
    <w:p w:rsidR="00D80307" w:rsidRPr="00422BAF" w:rsidRDefault="00D80307" w:rsidP="006F5B87">
      <w:pPr>
        <w:pStyle w:val="Heading5"/>
        <w:spacing w:before="0"/>
        <w:ind w:left="142" w:hanging="142"/>
        <w:rPr>
          <w:b/>
          <w:sz w:val="18"/>
          <w:szCs w:val="18"/>
        </w:rPr>
      </w:pPr>
      <w:r w:rsidRPr="00422BAF">
        <w:rPr>
          <w:b/>
          <w:sz w:val="18"/>
          <w:szCs w:val="18"/>
        </w:rPr>
        <w:t xml:space="preserve">* </w:t>
      </w:r>
      <w:r w:rsidR="00D615C5" w:rsidRPr="00422BAF">
        <w:rPr>
          <w:b/>
          <w:sz w:val="18"/>
          <w:szCs w:val="18"/>
        </w:rPr>
        <w:t>B</w:t>
      </w:r>
      <w:r w:rsidRPr="00422BAF">
        <w:rPr>
          <w:b/>
          <w:sz w:val="18"/>
          <w:szCs w:val="18"/>
        </w:rPr>
        <w:t xml:space="preserve">ased on </w:t>
      </w:r>
      <w:r w:rsidR="00D615C5" w:rsidRPr="00422BAF">
        <w:rPr>
          <w:b/>
          <w:sz w:val="18"/>
          <w:szCs w:val="18"/>
        </w:rPr>
        <w:t>200</w:t>
      </w:r>
      <w:r w:rsidR="00834CAD">
        <w:rPr>
          <w:b/>
          <w:sz w:val="18"/>
          <w:szCs w:val="18"/>
        </w:rPr>
        <w:t>7</w:t>
      </w:r>
      <w:r w:rsidR="00D615C5" w:rsidRPr="00422BAF">
        <w:rPr>
          <w:b/>
          <w:sz w:val="18"/>
          <w:szCs w:val="18"/>
        </w:rPr>
        <w:t xml:space="preserve"> </w:t>
      </w:r>
      <w:r w:rsidR="00D615C5" w:rsidRPr="00422BAF">
        <w:rPr>
          <w:rFonts w:cs="Arial"/>
          <w:b/>
          <w:sz w:val="18"/>
          <w:szCs w:val="18"/>
        </w:rPr>
        <w:t>labelling cost data collected by PwC</w:t>
      </w:r>
      <w:r w:rsidR="00D615C5" w:rsidRPr="00422BAF">
        <w:rPr>
          <w:b/>
          <w:sz w:val="18"/>
          <w:szCs w:val="18"/>
        </w:rPr>
        <w:t>,</w:t>
      </w:r>
      <w:r w:rsidRPr="00422BAF">
        <w:rPr>
          <w:b/>
          <w:sz w:val="18"/>
          <w:szCs w:val="18"/>
        </w:rPr>
        <w:t xml:space="preserve"> </w:t>
      </w:r>
      <w:r w:rsidR="00D615C5" w:rsidRPr="00422BAF">
        <w:rPr>
          <w:b/>
          <w:sz w:val="18"/>
          <w:szCs w:val="18"/>
        </w:rPr>
        <w:t xml:space="preserve">which has been </w:t>
      </w:r>
      <w:r w:rsidRPr="00422BAF">
        <w:rPr>
          <w:b/>
          <w:sz w:val="18"/>
          <w:szCs w:val="18"/>
        </w:rPr>
        <w:t>indexed for 2013</w:t>
      </w:r>
      <w:r w:rsidR="006F5B87" w:rsidRPr="00422BAF">
        <w:rPr>
          <w:b/>
          <w:sz w:val="18"/>
          <w:szCs w:val="18"/>
        </w:rPr>
        <w:t>.</w:t>
      </w:r>
    </w:p>
    <w:p w:rsidR="00670293" w:rsidRPr="0024768B" w:rsidRDefault="009A381D" w:rsidP="009A381D">
      <w:pPr>
        <w:pStyle w:val="Heading5"/>
      </w:pPr>
      <w:r w:rsidRPr="0024768B">
        <w:t>3.</w:t>
      </w:r>
      <w:r w:rsidR="00B53598">
        <w:t>2.</w:t>
      </w:r>
      <w:r w:rsidR="00BB73E1">
        <w:t>3</w:t>
      </w:r>
      <w:r w:rsidRPr="0024768B">
        <w:t>.2</w:t>
      </w:r>
      <w:r w:rsidRPr="0024768B">
        <w:tab/>
      </w:r>
      <w:r w:rsidR="00670293" w:rsidRPr="0024768B">
        <w:t xml:space="preserve">Potential labelling changes associated with </w:t>
      </w:r>
      <w:r w:rsidR="00B30DB5" w:rsidRPr="0024768B">
        <w:t xml:space="preserve">declaration of total dietary fibre </w:t>
      </w:r>
    </w:p>
    <w:p w:rsidR="00670293" w:rsidRPr="0024768B" w:rsidRDefault="0043249A" w:rsidP="00670293">
      <w:pPr>
        <w:rPr>
          <w:rFonts w:cs="Arial"/>
        </w:rPr>
      </w:pPr>
      <w:r w:rsidRPr="004B34E4">
        <w:rPr>
          <w:rFonts w:cs="Arial"/>
        </w:rPr>
        <w:t>M</w:t>
      </w:r>
      <w:r w:rsidR="009A381D" w:rsidRPr="004B34E4">
        <w:rPr>
          <w:rFonts w:cs="Arial"/>
        </w:rPr>
        <w:t xml:space="preserve">andating the declaration of total </w:t>
      </w:r>
      <w:r w:rsidR="00D504D4" w:rsidRPr="004B34E4">
        <w:rPr>
          <w:rFonts w:cs="Arial"/>
        </w:rPr>
        <w:t>dietary</w:t>
      </w:r>
      <w:r w:rsidR="009A381D" w:rsidRPr="004B34E4">
        <w:rPr>
          <w:rFonts w:cs="Arial"/>
        </w:rPr>
        <w:t xml:space="preserve"> fibre in the NIP </w:t>
      </w:r>
      <w:r w:rsidR="00670293" w:rsidRPr="004B34E4">
        <w:rPr>
          <w:rFonts w:cs="Arial"/>
        </w:rPr>
        <w:t>is considered a minor change in the PwC categories of labelling change</w:t>
      </w:r>
      <w:r w:rsidR="0024768B" w:rsidRPr="004B34E4">
        <w:rPr>
          <w:rFonts w:cs="Arial"/>
        </w:rPr>
        <w:t>,</w:t>
      </w:r>
      <w:r w:rsidR="00670293" w:rsidRPr="004B34E4">
        <w:rPr>
          <w:rFonts w:cs="Arial"/>
        </w:rPr>
        <w:t xml:space="preserve"> as it relates to a single one-line nutrient entry in the already existing NIP. It is assumed that major label redesign</w:t>
      </w:r>
      <w:r w:rsidR="0024768B" w:rsidRPr="004B34E4">
        <w:rPr>
          <w:rFonts w:cs="Arial"/>
        </w:rPr>
        <w:t>s</w:t>
      </w:r>
      <w:r w:rsidR="00670293" w:rsidRPr="004B34E4">
        <w:rPr>
          <w:rFonts w:cs="Arial"/>
        </w:rPr>
        <w:t xml:space="preserve"> w</w:t>
      </w:r>
      <w:r w:rsidR="00694616" w:rsidRPr="004B34E4">
        <w:rPr>
          <w:rFonts w:cs="Arial"/>
        </w:rPr>
        <w:t>ould</w:t>
      </w:r>
      <w:r w:rsidR="00670293" w:rsidRPr="004B34E4">
        <w:rPr>
          <w:rFonts w:cs="Arial"/>
        </w:rPr>
        <w:t xml:space="preserve"> not be required to include </w:t>
      </w:r>
      <w:r w:rsidR="0024768B" w:rsidRPr="004B34E4">
        <w:rPr>
          <w:rFonts w:cs="Arial"/>
        </w:rPr>
        <w:t>an</w:t>
      </w:r>
      <w:r w:rsidR="00670293" w:rsidRPr="004B34E4">
        <w:rPr>
          <w:rFonts w:cs="Arial"/>
        </w:rPr>
        <w:t xml:space="preserve"> additional </w:t>
      </w:r>
      <w:r w:rsidR="0024768B" w:rsidRPr="004B34E4">
        <w:rPr>
          <w:rFonts w:cs="Arial"/>
        </w:rPr>
        <w:t xml:space="preserve">total dietary fibre </w:t>
      </w:r>
      <w:r w:rsidR="00670293" w:rsidRPr="004B34E4">
        <w:rPr>
          <w:rFonts w:cs="Arial"/>
        </w:rPr>
        <w:t>nutrient line in the NIP.</w:t>
      </w:r>
      <w:r w:rsidR="00B85065" w:rsidRPr="004B34E4">
        <w:rPr>
          <w:rFonts w:cs="Arial"/>
        </w:rPr>
        <w:t xml:space="preserve"> However</w:t>
      </w:r>
      <w:r w:rsidR="000A4DA2">
        <w:rPr>
          <w:rFonts w:cs="Arial"/>
        </w:rPr>
        <w:t>,</w:t>
      </w:r>
      <w:r w:rsidR="00B85065">
        <w:rPr>
          <w:rFonts w:cs="Arial"/>
        </w:rPr>
        <w:t xml:space="preserve"> there could be some circumstances where the change to labelling represents a medium change in PwC and others where no labelling change is actually required.</w:t>
      </w:r>
    </w:p>
    <w:p w:rsidR="00670293" w:rsidRPr="0024768B" w:rsidRDefault="00670293" w:rsidP="00670293">
      <w:pPr>
        <w:rPr>
          <w:rFonts w:cs="Arial"/>
        </w:rPr>
      </w:pPr>
    </w:p>
    <w:p w:rsidR="00E53A52" w:rsidRDefault="00670293" w:rsidP="00E53A52">
      <w:r w:rsidRPr="0024768B">
        <w:rPr>
          <w:rFonts w:cs="Arial"/>
        </w:rPr>
        <w:t>The average cost of a minor label</w:t>
      </w:r>
      <w:r w:rsidR="0024768B" w:rsidRPr="0024768B">
        <w:rPr>
          <w:rFonts w:cs="Arial"/>
        </w:rPr>
        <w:t>l</w:t>
      </w:r>
      <w:r w:rsidRPr="0024768B">
        <w:rPr>
          <w:rFonts w:cs="Arial"/>
        </w:rPr>
        <w:t xml:space="preserve">ing change per single SKU is </w:t>
      </w:r>
      <w:r w:rsidR="00865119">
        <w:rPr>
          <w:rFonts w:cs="Arial"/>
        </w:rPr>
        <w:t>AU</w:t>
      </w:r>
      <w:r w:rsidRPr="0024768B">
        <w:rPr>
          <w:rFonts w:cs="Arial"/>
        </w:rPr>
        <w:t>$4,014</w:t>
      </w:r>
      <w:r w:rsidR="00865119">
        <w:rPr>
          <w:rFonts w:cs="Arial"/>
        </w:rPr>
        <w:t>. T</w:t>
      </w:r>
      <w:r w:rsidRPr="0024768B">
        <w:rPr>
          <w:rFonts w:cs="Arial"/>
        </w:rPr>
        <w:t>his is based on the assumption that there are equal numbers of products that require label</w:t>
      </w:r>
      <w:r w:rsidR="0024768B" w:rsidRPr="0024768B">
        <w:rPr>
          <w:rFonts w:cs="Arial"/>
        </w:rPr>
        <w:t>l</w:t>
      </w:r>
      <w:r w:rsidRPr="0024768B">
        <w:rPr>
          <w:rFonts w:cs="Arial"/>
        </w:rPr>
        <w:t xml:space="preserve">ing in each type of packaging, i.e. flexible, </w:t>
      </w:r>
      <w:r w:rsidR="009A381D" w:rsidRPr="0024768B">
        <w:rPr>
          <w:rFonts w:cs="Arial"/>
        </w:rPr>
        <w:t>fibre</w:t>
      </w:r>
      <w:r w:rsidRPr="0024768B">
        <w:rPr>
          <w:rFonts w:cs="Arial"/>
        </w:rPr>
        <w:t>, plastic, metal and glass packaging.</w:t>
      </w:r>
      <w:r w:rsidR="00B85065">
        <w:rPr>
          <w:rFonts w:cs="Arial"/>
        </w:rPr>
        <w:t xml:space="preserve"> </w:t>
      </w:r>
      <w:r w:rsidR="00350511" w:rsidRPr="0024768B">
        <w:rPr>
          <w:rFonts w:cs="Arial"/>
        </w:rPr>
        <w:t xml:space="preserve">Overall </w:t>
      </w:r>
      <w:r w:rsidR="001C12DF">
        <w:rPr>
          <w:rFonts w:cs="Arial"/>
        </w:rPr>
        <w:t xml:space="preserve">direct </w:t>
      </w:r>
      <w:r w:rsidR="00350511" w:rsidRPr="0024768B">
        <w:rPr>
          <w:rFonts w:cs="Arial"/>
        </w:rPr>
        <w:t xml:space="preserve">costs for the labelling change could be estimated if the total number of SKUs that require amendment are known. A number of products currently include </w:t>
      </w:r>
      <w:r w:rsidR="00694616">
        <w:rPr>
          <w:rFonts w:cs="Arial"/>
        </w:rPr>
        <w:t xml:space="preserve">dietary </w:t>
      </w:r>
      <w:r w:rsidR="00350511" w:rsidRPr="0024768B">
        <w:rPr>
          <w:rFonts w:cs="Arial"/>
        </w:rPr>
        <w:t xml:space="preserve">fibre declarations in the NIP either because of mandatory requirements </w:t>
      </w:r>
      <w:r w:rsidR="000D2714" w:rsidRPr="0024768B">
        <w:rPr>
          <w:rFonts w:cs="Arial"/>
        </w:rPr>
        <w:t xml:space="preserve">relating to </w:t>
      </w:r>
      <w:r w:rsidR="00FC5376">
        <w:rPr>
          <w:rFonts w:cs="Arial"/>
        </w:rPr>
        <w:t xml:space="preserve">voluntary </w:t>
      </w:r>
      <w:r w:rsidR="000D2714" w:rsidRPr="0024768B">
        <w:rPr>
          <w:rFonts w:cs="Arial"/>
        </w:rPr>
        <w:t>nutrition and health claims</w:t>
      </w:r>
      <w:r w:rsidR="00350511" w:rsidRPr="0024768B">
        <w:rPr>
          <w:rFonts w:cs="Arial"/>
        </w:rPr>
        <w:t xml:space="preserve">, </w:t>
      </w:r>
      <w:r w:rsidR="001C12DF" w:rsidRPr="0024768B">
        <w:rPr>
          <w:rFonts w:cs="Arial"/>
        </w:rPr>
        <w:t xml:space="preserve">or voluntary permissions </w:t>
      </w:r>
      <w:r w:rsidR="00350511" w:rsidRPr="0024768B">
        <w:rPr>
          <w:rFonts w:cs="Arial"/>
        </w:rPr>
        <w:t xml:space="preserve">and these would not require </w:t>
      </w:r>
      <w:r w:rsidR="00694616">
        <w:rPr>
          <w:rFonts w:cs="Arial"/>
        </w:rPr>
        <w:t>a change in</w:t>
      </w:r>
      <w:r w:rsidR="00694616" w:rsidRPr="0024768B">
        <w:rPr>
          <w:rFonts w:cs="Arial"/>
        </w:rPr>
        <w:t xml:space="preserve"> </w:t>
      </w:r>
      <w:r w:rsidR="00350511" w:rsidRPr="0024768B">
        <w:rPr>
          <w:rFonts w:cs="Arial"/>
        </w:rPr>
        <w:t xml:space="preserve">labelling. </w:t>
      </w:r>
      <w:r w:rsidR="00E53A52" w:rsidRPr="0024768B">
        <w:t>A</w:t>
      </w:r>
      <w:r w:rsidR="00E53A52">
        <w:t>lthough difficult to predict, i</w:t>
      </w:r>
      <w:r w:rsidR="00E53A52" w:rsidRPr="0024768B">
        <w:t xml:space="preserve">t is possible </w:t>
      </w:r>
      <w:r w:rsidR="00153FB8">
        <w:t xml:space="preserve">with the implementation of Standard 1.2.7 </w:t>
      </w:r>
      <w:r w:rsidR="00E53A52" w:rsidRPr="0024768B">
        <w:t xml:space="preserve">that there could be </w:t>
      </w:r>
      <w:r w:rsidR="00E53A52">
        <w:t xml:space="preserve">changes to the number of products declaring their </w:t>
      </w:r>
      <w:r w:rsidR="00E53A52" w:rsidRPr="0024768B">
        <w:t xml:space="preserve">dietary fibre </w:t>
      </w:r>
      <w:r w:rsidR="00E53A52">
        <w:t>content in the NIP</w:t>
      </w:r>
      <w:r w:rsidR="00E53A52" w:rsidRPr="0024768B">
        <w:t>.</w:t>
      </w:r>
    </w:p>
    <w:p w:rsidR="00E53A52" w:rsidRPr="0024768B" w:rsidRDefault="00E53A52" w:rsidP="00E53A52"/>
    <w:p w:rsidR="007765A1" w:rsidRDefault="007765A1">
      <w:pPr>
        <w:widowControl/>
        <w:rPr>
          <w:rFonts w:cs="Arial"/>
        </w:rPr>
      </w:pPr>
      <w:r>
        <w:rPr>
          <w:rFonts w:cs="Arial"/>
        </w:rPr>
        <w:br w:type="page"/>
      </w:r>
    </w:p>
    <w:p w:rsidR="00BB73E1" w:rsidRPr="0024768B" w:rsidRDefault="00350511" w:rsidP="002E2A4B">
      <w:r w:rsidRPr="0024768B">
        <w:rPr>
          <w:rFonts w:cs="Arial"/>
        </w:rPr>
        <w:lastRenderedPageBreak/>
        <w:t xml:space="preserve">FSANZ does not have reliable data upon which to estimate total </w:t>
      </w:r>
      <w:r w:rsidR="001C12DF">
        <w:rPr>
          <w:rFonts w:cs="Arial"/>
        </w:rPr>
        <w:t xml:space="preserve">direct </w:t>
      </w:r>
      <w:r w:rsidRPr="0024768B">
        <w:rPr>
          <w:rFonts w:cs="Arial"/>
        </w:rPr>
        <w:t>costs</w:t>
      </w:r>
      <w:r w:rsidR="00D66D81">
        <w:rPr>
          <w:rFonts w:cs="Arial"/>
        </w:rPr>
        <w:t xml:space="preserve">. </w:t>
      </w:r>
      <w:r w:rsidR="00194C4C" w:rsidRPr="0024768B">
        <w:t>However</w:t>
      </w:r>
      <w:r w:rsidR="000A4DA2">
        <w:t>,</w:t>
      </w:r>
      <w:r w:rsidRPr="0024768B">
        <w:t xml:space="preserve"> available information suggests that a major </w:t>
      </w:r>
      <w:r w:rsidR="00194C4C" w:rsidRPr="0024768B">
        <w:t xml:space="preserve">Australian </w:t>
      </w:r>
      <w:r w:rsidRPr="0024768B">
        <w:t xml:space="preserve">supermarket stocks around </w:t>
      </w:r>
      <w:r w:rsidR="00700D25">
        <w:t>28,000</w:t>
      </w:r>
      <w:r w:rsidRPr="0024768B">
        <w:t xml:space="preserve"> SKUs</w:t>
      </w:r>
      <w:r w:rsidR="005236CC">
        <w:t xml:space="preserve"> </w:t>
      </w:r>
      <w:r w:rsidR="001C12DF">
        <w:t xml:space="preserve">of packaged foods </w:t>
      </w:r>
      <w:r w:rsidR="005236CC">
        <w:t>(</w:t>
      </w:r>
      <w:r w:rsidR="005236CC" w:rsidRPr="00700D25">
        <w:t xml:space="preserve">Woolworths Ltd, </w:t>
      </w:r>
      <w:r w:rsidR="00B51376">
        <w:t>pers. com.</w:t>
      </w:r>
      <w:r w:rsidR="005236CC">
        <w:t>)</w:t>
      </w:r>
      <w:r w:rsidR="00B51376">
        <w:rPr>
          <w:rStyle w:val="FootnoteReference"/>
        </w:rPr>
        <w:footnoteReference w:id="10"/>
      </w:r>
      <w:r w:rsidR="002E2A4B">
        <w:t xml:space="preserve">. </w:t>
      </w:r>
      <w:r w:rsidR="007765A1">
        <w:t>While s</w:t>
      </w:r>
      <w:r w:rsidR="002E2A4B">
        <w:t xml:space="preserve">ome of these </w:t>
      </w:r>
      <w:r w:rsidR="00067B22">
        <w:t>SKUs may</w:t>
      </w:r>
      <w:r w:rsidR="002E2A4B">
        <w:t xml:space="preserve"> already have fibre declarations in the NIP</w:t>
      </w:r>
      <w:r w:rsidR="008564C2">
        <w:t xml:space="preserve">, </w:t>
      </w:r>
      <w:r w:rsidR="007765A1">
        <w:t>common examples being</w:t>
      </w:r>
      <w:r w:rsidR="00E22942">
        <w:t xml:space="preserve"> </w:t>
      </w:r>
      <w:r w:rsidR="00610027">
        <w:t xml:space="preserve">breakfast cereals </w:t>
      </w:r>
      <w:r w:rsidR="007765A1">
        <w:t xml:space="preserve">and </w:t>
      </w:r>
      <w:r w:rsidR="00610027">
        <w:t>breads</w:t>
      </w:r>
      <w:r w:rsidR="007765A1">
        <w:t>,</w:t>
      </w:r>
      <w:r w:rsidR="008564C2">
        <w:t xml:space="preserve"> </w:t>
      </w:r>
      <w:r w:rsidR="00067B22">
        <w:t>others will not</w:t>
      </w:r>
      <w:r w:rsidR="002E2A4B">
        <w:t xml:space="preserve">. </w:t>
      </w:r>
      <w:r w:rsidR="007765A1">
        <w:t>Additionally, some</w:t>
      </w:r>
      <w:r w:rsidR="00346C31">
        <w:t xml:space="preserve"> packaged foods </w:t>
      </w:r>
      <w:r w:rsidR="00E22942">
        <w:t xml:space="preserve">may be exempt from requiring a NIP. </w:t>
      </w:r>
      <w:r w:rsidR="00E53628">
        <w:t>However, th</w:t>
      </w:r>
      <w:r w:rsidR="008564C2">
        <w:t>e total SKU</w:t>
      </w:r>
      <w:r w:rsidR="00E53628">
        <w:t xml:space="preserve"> figure </w:t>
      </w:r>
      <w:r w:rsidR="00E22942">
        <w:t xml:space="preserve">above </w:t>
      </w:r>
      <w:r w:rsidR="00E53628">
        <w:t xml:space="preserve">provides some </w:t>
      </w:r>
      <w:r w:rsidR="008564C2">
        <w:t xml:space="preserve">general </w:t>
      </w:r>
      <w:r w:rsidR="00E53628">
        <w:t xml:space="preserve">indication of the magnitude of the costs that could be incurred if the declaration of total dietary fibre was </w:t>
      </w:r>
      <w:r w:rsidR="00E22942">
        <w:t xml:space="preserve">a </w:t>
      </w:r>
      <w:r w:rsidR="00E53628">
        <w:t>mandat</w:t>
      </w:r>
      <w:r w:rsidR="00E22942">
        <w:t>ory requirement in the NIP</w:t>
      </w:r>
      <w:r w:rsidRPr="0024768B">
        <w:t>.</w:t>
      </w:r>
      <w:r w:rsidR="001957D4" w:rsidRPr="0024768B">
        <w:t xml:space="preserve"> </w:t>
      </w:r>
      <w:r w:rsidR="002E2A4B">
        <w:t xml:space="preserve">Finally, </w:t>
      </w:r>
      <w:r w:rsidR="00D76AED">
        <w:t xml:space="preserve">indirect costs have not been assessed, though </w:t>
      </w:r>
      <w:r w:rsidR="00B15C34">
        <w:t xml:space="preserve">such costs (e.g. determining fibre levels) </w:t>
      </w:r>
      <w:r w:rsidR="00D76AED">
        <w:t xml:space="preserve">would be associated with mandating </w:t>
      </w:r>
      <w:r w:rsidR="00067B22">
        <w:t xml:space="preserve">declaration of </w:t>
      </w:r>
      <w:r w:rsidR="00D76AED">
        <w:t>total dietary fibre</w:t>
      </w:r>
      <w:r w:rsidR="009121D2">
        <w:t xml:space="preserve"> </w:t>
      </w:r>
      <w:r w:rsidR="00067B22">
        <w:t xml:space="preserve">in </w:t>
      </w:r>
      <w:r w:rsidR="009121D2">
        <w:t>the NIP</w:t>
      </w:r>
      <w:r w:rsidR="002E2A4B">
        <w:t>.</w:t>
      </w:r>
      <w:r w:rsidR="00D76AED">
        <w:t xml:space="preserve"> A robust cost benefit analysis would be required to satisfy COAG RIS requirements should a regulatory change be considered. </w:t>
      </w:r>
    </w:p>
    <w:p w:rsidR="00F24E95" w:rsidRPr="0024768B" w:rsidRDefault="00486FB5" w:rsidP="003A2C64">
      <w:pPr>
        <w:pStyle w:val="Heading1"/>
      </w:pPr>
      <w:bookmarkStart w:id="41" w:name="_Toc379448910"/>
      <w:r w:rsidRPr="0024768B">
        <w:t>4</w:t>
      </w:r>
      <w:r w:rsidR="001122EC" w:rsidRPr="0024768B">
        <w:t>.</w:t>
      </w:r>
      <w:r w:rsidR="001122EC" w:rsidRPr="0024768B">
        <w:tab/>
      </w:r>
      <w:r w:rsidR="00F24E95" w:rsidRPr="0024768B">
        <w:t>Conclusion</w:t>
      </w:r>
      <w:bookmarkEnd w:id="40"/>
      <w:bookmarkEnd w:id="41"/>
    </w:p>
    <w:p w:rsidR="000809A1" w:rsidRPr="0024768B" w:rsidRDefault="000809A1" w:rsidP="000809A1">
      <w:r w:rsidRPr="0024768B">
        <w:t>The key findings from this technical evaluation of Recommendation 14 are as follows:</w:t>
      </w:r>
    </w:p>
    <w:p w:rsidR="000809A1" w:rsidRPr="0024768B" w:rsidRDefault="000809A1" w:rsidP="00CD3CE3"/>
    <w:p w:rsidR="00544D98" w:rsidRPr="00F17A38" w:rsidRDefault="00DA37D5" w:rsidP="00F17A38">
      <w:pPr>
        <w:rPr>
          <w:rFonts w:cs="Arial"/>
          <w:u w:val="single"/>
        </w:rPr>
      </w:pPr>
      <w:r w:rsidRPr="00F17A38">
        <w:rPr>
          <w:rFonts w:cs="Arial"/>
          <w:u w:val="single"/>
        </w:rPr>
        <w:t>Distinguishing naturally occurring dietary fibre</w:t>
      </w:r>
    </w:p>
    <w:p w:rsidR="00F17A38" w:rsidRPr="00F918C1" w:rsidRDefault="00F17A38" w:rsidP="00F17A38">
      <w:pPr>
        <w:pStyle w:val="ListParagraph"/>
        <w:numPr>
          <w:ilvl w:val="0"/>
          <w:numId w:val="19"/>
        </w:numPr>
        <w:spacing w:before="120"/>
        <w:ind w:left="567" w:hanging="567"/>
        <w:contextualSpacing w:val="0"/>
        <w:rPr>
          <w:rFonts w:cs="Arial"/>
          <w:lang w:val="en-GB"/>
        </w:rPr>
      </w:pPr>
      <w:r>
        <w:rPr>
          <w:rFonts w:cs="Arial"/>
        </w:rPr>
        <w:t xml:space="preserve">There is no simple </w:t>
      </w:r>
      <w:r w:rsidR="004238B4">
        <w:rPr>
          <w:rFonts w:cs="Arial"/>
        </w:rPr>
        <w:t>way</w:t>
      </w:r>
      <w:r>
        <w:rPr>
          <w:rFonts w:cs="Arial"/>
        </w:rPr>
        <w:t xml:space="preserve"> </w:t>
      </w:r>
      <w:r w:rsidRPr="005B436E">
        <w:rPr>
          <w:rStyle w:val="ms-rtefontsize-21"/>
          <w:rFonts w:cs="Arial"/>
          <w:sz w:val="22"/>
          <w:szCs w:val="22"/>
        </w:rPr>
        <w:t>naturally occurring</w:t>
      </w:r>
      <w:r>
        <w:rPr>
          <w:rFonts w:cs="Arial"/>
        </w:rPr>
        <w:t xml:space="preserve"> dietary fibre can be distinguished from total dietary fibre. Naturally occurring dietary fibre can often be found together with dietary fibres from refined sources in the same food (and can even consist of the same substance in the food). </w:t>
      </w:r>
    </w:p>
    <w:p w:rsidR="00F17A38" w:rsidRPr="00F918C1" w:rsidRDefault="00F17A38" w:rsidP="00F17A38">
      <w:pPr>
        <w:pStyle w:val="ListParagraph"/>
        <w:numPr>
          <w:ilvl w:val="0"/>
          <w:numId w:val="19"/>
        </w:numPr>
        <w:spacing w:before="120"/>
        <w:ind w:left="567" w:hanging="567"/>
        <w:contextualSpacing w:val="0"/>
        <w:rPr>
          <w:rFonts w:cs="Arial"/>
          <w:lang w:val="en-GB"/>
        </w:rPr>
      </w:pPr>
      <w:r>
        <w:rPr>
          <w:lang w:val="en-GB"/>
        </w:rPr>
        <w:t>A</w:t>
      </w:r>
      <w:r w:rsidRPr="0024768B">
        <w:rPr>
          <w:lang w:val="en-GB"/>
        </w:rPr>
        <w:t xml:space="preserve">vailable information </w:t>
      </w:r>
      <w:r w:rsidR="00A73FD0">
        <w:rPr>
          <w:lang w:val="en-GB"/>
        </w:rPr>
        <w:t xml:space="preserve">also </w:t>
      </w:r>
      <w:r w:rsidRPr="0024768B">
        <w:rPr>
          <w:lang w:val="en-GB"/>
        </w:rPr>
        <w:t xml:space="preserve">suggests that differences in physiological effects cannot be used as a way of distinguishing </w:t>
      </w:r>
      <w:r w:rsidR="00390DB6">
        <w:rPr>
          <w:lang w:val="en-GB"/>
        </w:rPr>
        <w:t xml:space="preserve">natural occurring and refined </w:t>
      </w:r>
      <w:r>
        <w:rPr>
          <w:lang w:val="en-GB"/>
        </w:rPr>
        <w:t xml:space="preserve">dietary </w:t>
      </w:r>
      <w:r w:rsidR="00A73FD0">
        <w:rPr>
          <w:lang w:val="en-GB"/>
        </w:rPr>
        <w:t xml:space="preserve">fibres </w:t>
      </w:r>
      <w:r w:rsidRPr="0024768B">
        <w:rPr>
          <w:lang w:val="en-GB"/>
        </w:rPr>
        <w:t xml:space="preserve">as both have the potential to contribute to </w:t>
      </w:r>
      <w:r>
        <w:rPr>
          <w:lang w:val="en-GB"/>
        </w:rPr>
        <w:t xml:space="preserve">the </w:t>
      </w:r>
      <w:r w:rsidR="00C23AD0">
        <w:rPr>
          <w:lang w:val="en-GB"/>
        </w:rPr>
        <w:t xml:space="preserve">some of the </w:t>
      </w:r>
      <w:r w:rsidRPr="0024768B">
        <w:rPr>
          <w:lang w:val="en-GB"/>
        </w:rPr>
        <w:t>recognised health outcomes for dietary fibre.</w:t>
      </w:r>
      <w:r w:rsidRPr="00F918C1">
        <w:rPr>
          <w:rFonts w:cs="Arial"/>
        </w:rPr>
        <w:t xml:space="preserve"> </w:t>
      </w:r>
    </w:p>
    <w:p w:rsidR="004409A2" w:rsidRDefault="00F17A38" w:rsidP="00F17A38">
      <w:pPr>
        <w:pStyle w:val="ListParagraph"/>
        <w:numPr>
          <w:ilvl w:val="0"/>
          <w:numId w:val="19"/>
        </w:numPr>
        <w:spacing w:before="120"/>
        <w:ind w:left="567" w:hanging="567"/>
        <w:contextualSpacing w:val="0"/>
        <w:rPr>
          <w:rFonts w:cs="Arial"/>
          <w:lang w:val="en-GB"/>
        </w:rPr>
      </w:pPr>
      <w:r w:rsidRPr="00F918C1">
        <w:rPr>
          <w:rFonts w:cs="Arial"/>
        </w:rPr>
        <w:t>T</w:t>
      </w:r>
      <w:r w:rsidRPr="00F918C1">
        <w:rPr>
          <w:rFonts w:cs="Arial"/>
          <w:lang w:val="en-GB"/>
        </w:rPr>
        <w:t xml:space="preserve">here is no readily available method of analysis that clearly distinguishes </w:t>
      </w:r>
      <w:r>
        <w:rPr>
          <w:rFonts w:cs="Arial"/>
          <w:lang w:val="en-GB"/>
        </w:rPr>
        <w:t xml:space="preserve">naturally occurring dietary </w:t>
      </w:r>
      <w:r w:rsidRPr="00F918C1">
        <w:rPr>
          <w:rFonts w:cs="Arial"/>
          <w:lang w:val="en-GB"/>
        </w:rPr>
        <w:t xml:space="preserve">fibre from total dietary fibre </w:t>
      </w:r>
      <w:r w:rsidR="00064B80">
        <w:rPr>
          <w:rFonts w:cs="Arial"/>
          <w:lang w:val="en-GB"/>
        </w:rPr>
        <w:t>where both natural and refined fibres are present</w:t>
      </w:r>
      <w:r w:rsidRPr="00F918C1">
        <w:rPr>
          <w:rFonts w:cs="Arial"/>
          <w:lang w:val="en-GB"/>
        </w:rPr>
        <w:t>. The use of non-analytical alternative approaches, such as calculating the</w:t>
      </w:r>
      <w:r>
        <w:rPr>
          <w:rFonts w:cs="Arial"/>
          <w:lang w:val="en-GB"/>
        </w:rPr>
        <w:t xml:space="preserve"> naturally occurring dietary fibre</w:t>
      </w:r>
      <w:r w:rsidRPr="00F918C1">
        <w:rPr>
          <w:rFonts w:cs="Arial"/>
          <w:lang w:val="en-GB"/>
        </w:rPr>
        <w:t xml:space="preserve"> </w:t>
      </w:r>
      <w:r>
        <w:rPr>
          <w:rFonts w:cs="Arial"/>
          <w:lang w:val="en-GB"/>
        </w:rPr>
        <w:t xml:space="preserve">of </w:t>
      </w:r>
      <w:r w:rsidRPr="00F918C1">
        <w:rPr>
          <w:rFonts w:cs="Arial"/>
          <w:lang w:val="en-GB"/>
        </w:rPr>
        <w:t>ingredients from food composition data, is currently not possible</w:t>
      </w:r>
      <w:r>
        <w:rPr>
          <w:rFonts w:cs="Arial"/>
          <w:lang w:val="en-GB"/>
        </w:rPr>
        <w:t>,</w:t>
      </w:r>
      <w:r w:rsidRPr="00F918C1">
        <w:rPr>
          <w:rFonts w:cs="Arial"/>
          <w:lang w:val="en-GB"/>
        </w:rPr>
        <w:t xml:space="preserve"> as national food composition tables and nutrition labelling tools for Australia and New Zealand do not contain the information required for these purposes. </w:t>
      </w:r>
    </w:p>
    <w:p w:rsidR="00F918C1" w:rsidRDefault="00F17A38" w:rsidP="00F17A38">
      <w:pPr>
        <w:pStyle w:val="ListParagraph"/>
        <w:numPr>
          <w:ilvl w:val="0"/>
          <w:numId w:val="19"/>
        </w:numPr>
        <w:spacing w:before="120"/>
        <w:ind w:left="567" w:hanging="567"/>
        <w:contextualSpacing w:val="0"/>
        <w:rPr>
          <w:rFonts w:cs="Arial"/>
          <w:lang w:val="en-GB"/>
        </w:rPr>
      </w:pPr>
      <w:r w:rsidRPr="00F918C1">
        <w:rPr>
          <w:rFonts w:cs="Arial"/>
          <w:lang w:val="en-GB"/>
        </w:rPr>
        <w:t>Therefore, FSANZ considers separately declar</w:t>
      </w:r>
      <w:r w:rsidR="004238B4">
        <w:rPr>
          <w:rFonts w:cs="Arial"/>
          <w:lang w:val="en-GB"/>
        </w:rPr>
        <w:t>ing</w:t>
      </w:r>
      <w:r w:rsidRPr="00F918C1">
        <w:rPr>
          <w:rFonts w:cs="Arial"/>
          <w:lang w:val="en-GB"/>
        </w:rPr>
        <w:t xml:space="preserve"> natural</w:t>
      </w:r>
      <w:r>
        <w:rPr>
          <w:rFonts w:cs="Arial"/>
          <w:lang w:val="en-GB"/>
        </w:rPr>
        <w:t>ly occurring dietary</w:t>
      </w:r>
      <w:r w:rsidRPr="00F918C1">
        <w:rPr>
          <w:rFonts w:cs="Arial"/>
          <w:lang w:val="en-GB"/>
        </w:rPr>
        <w:t xml:space="preserve"> fibre</w:t>
      </w:r>
      <w:r>
        <w:rPr>
          <w:rFonts w:cs="Arial"/>
          <w:lang w:val="en-GB"/>
        </w:rPr>
        <w:t xml:space="preserve"> from total dietary fibre</w:t>
      </w:r>
      <w:r w:rsidRPr="00F918C1">
        <w:rPr>
          <w:rFonts w:cs="Arial"/>
          <w:lang w:val="en-GB"/>
        </w:rPr>
        <w:t xml:space="preserve"> in the NIP </w:t>
      </w:r>
      <w:r w:rsidR="004238B4">
        <w:rPr>
          <w:rFonts w:cs="Arial"/>
          <w:lang w:val="en-GB"/>
        </w:rPr>
        <w:t>would</w:t>
      </w:r>
      <w:r w:rsidRPr="00F918C1">
        <w:rPr>
          <w:rFonts w:cs="Arial"/>
          <w:lang w:val="en-GB"/>
        </w:rPr>
        <w:t xml:space="preserve"> be </w:t>
      </w:r>
      <w:r>
        <w:rPr>
          <w:rFonts w:cs="Arial"/>
          <w:lang w:val="en-GB"/>
        </w:rPr>
        <w:t xml:space="preserve">difficult </w:t>
      </w:r>
      <w:r>
        <w:t>and impractical to implement.</w:t>
      </w:r>
      <w:r w:rsidR="0024768B" w:rsidRPr="00F918C1">
        <w:rPr>
          <w:rFonts w:cs="Arial"/>
          <w:lang w:val="en-GB"/>
        </w:rPr>
        <w:t xml:space="preserve"> </w:t>
      </w:r>
    </w:p>
    <w:p w:rsidR="00F918C1" w:rsidRPr="00F918C1" w:rsidRDefault="00F918C1" w:rsidP="00F918C1">
      <w:pPr>
        <w:pStyle w:val="ListParagraph"/>
        <w:rPr>
          <w:rFonts w:cs="Arial"/>
          <w:lang w:val="en-GB"/>
        </w:rPr>
      </w:pPr>
    </w:p>
    <w:p w:rsidR="00DA37D5" w:rsidRPr="00F17A38" w:rsidRDefault="00DA37D5" w:rsidP="00F17A38">
      <w:pPr>
        <w:rPr>
          <w:rFonts w:cs="Arial"/>
          <w:u w:val="single"/>
        </w:rPr>
      </w:pPr>
      <w:r w:rsidRPr="00F17A38">
        <w:rPr>
          <w:rFonts w:cs="Arial"/>
          <w:u w:val="single"/>
        </w:rPr>
        <w:t>Declaration of total dietary fibre</w:t>
      </w:r>
    </w:p>
    <w:p w:rsidR="00F17A38" w:rsidRPr="0024768B" w:rsidRDefault="00F17A38" w:rsidP="00F17A38">
      <w:pPr>
        <w:pStyle w:val="FSBullet1"/>
        <w:spacing w:before="120"/>
      </w:pPr>
      <w:r w:rsidRPr="0024768B">
        <w:t xml:space="preserve">The </w:t>
      </w:r>
      <w:r>
        <w:t xml:space="preserve">current </w:t>
      </w:r>
      <w:r w:rsidRPr="0024768B">
        <w:t xml:space="preserve">regulatory approach to the declaration of </w:t>
      </w:r>
      <w:r>
        <w:t xml:space="preserve">total </w:t>
      </w:r>
      <w:r w:rsidRPr="0024768B">
        <w:t xml:space="preserve">dietary fibre content in Australia and New Zealand is consistent with Codex Alimentarius guidelines and </w:t>
      </w:r>
      <w:r>
        <w:t>European Union</w:t>
      </w:r>
      <w:r w:rsidRPr="0024768B">
        <w:t xml:space="preserve"> regulations. </w:t>
      </w:r>
      <w:r w:rsidR="004238B4">
        <w:t xml:space="preserve">Other than </w:t>
      </w:r>
      <w:r w:rsidRPr="0024768B">
        <w:t>the U</w:t>
      </w:r>
      <w:r>
        <w:t xml:space="preserve">nited </w:t>
      </w:r>
      <w:r w:rsidRPr="0024768B">
        <w:t>S</w:t>
      </w:r>
      <w:r>
        <w:t xml:space="preserve">tates of </w:t>
      </w:r>
      <w:r w:rsidRPr="0024768B">
        <w:t>A</w:t>
      </w:r>
      <w:r>
        <w:t>merica</w:t>
      </w:r>
      <w:r w:rsidRPr="0024768B">
        <w:t xml:space="preserve"> and Canada, FSANZ </w:t>
      </w:r>
      <w:r w:rsidR="004238B4">
        <w:t xml:space="preserve">is </w:t>
      </w:r>
      <w:r w:rsidRPr="0024768B">
        <w:t xml:space="preserve">not aware of any other overseas regulations that mandate the declaration of </w:t>
      </w:r>
      <w:r>
        <w:t xml:space="preserve">total </w:t>
      </w:r>
      <w:r w:rsidRPr="0024768B">
        <w:t>dietary fibre content on</w:t>
      </w:r>
      <w:r>
        <w:t xml:space="preserve"> all</w:t>
      </w:r>
      <w:r w:rsidRPr="0024768B">
        <w:t xml:space="preserve"> food labels. </w:t>
      </w:r>
    </w:p>
    <w:p w:rsidR="00F17A38" w:rsidRDefault="00F17A38" w:rsidP="00F17A38">
      <w:pPr>
        <w:pStyle w:val="FSBullet1"/>
        <w:spacing w:before="120"/>
      </w:pPr>
      <w:r>
        <w:t>Preliminary consideration has shown that some consumers will value increased access to total dietary fibre information, but also that there could potentially be costs to industry. Due to data limitations, a more definitive analysis cannot be made, especially on the magnitude of the costs to industry. However</w:t>
      </w:r>
      <w:r w:rsidR="000A4DA2">
        <w:t>,</w:t>
      </w:r>
      <w:r>
        <w:t xml:space="preserve"> FSANZ has identified the following:</w:t>
      </w:r>
    </w:p>
    <w:p w:rsidR="00F17A38" w:rsidRPr="00D61CD6" w:rsidRDefault="00F17A38" w:rsidP="00FC5376">
      <w:pPr>
        <w:pStyle w:val="FSBullet2"/>
        <w:spacing w:before="120"/>
      </w:pPr>
      <w:r w:rsidRPr="00D61CD6">
        <w:t xml:space="preserve">The rapid evidence assessment of consumer knowledge, attitudes and behaviour suggests that there is value to some consumers in the display of dietary fibre information in the NIP and that this information may influence dietary fibre intakes. </w:t>
      </w:r>
    </w:p>
    <w:p w:rsidR="00F17A38" w:rsidRPr="00D61CD6" w:rsidRDefault="00F17A38" w:rsidP="00FC5376">
      <w:pPr>
        <w:pStyle w:val="FSBullet2"/>
        <w:spacing w:before="120"/>
      </w:pPr>
      <w:r w:rsidRPr="00D61CD6">
        <w:lastRenderedPageBreak/>
        <w:t xml:space="preserve">There is limited evidence on how consumers respond to dietary fibre </w:t>
      </w:r>
      <w:r w:rsidR="00A73FD0" w:rsidRPr="00D61CD6">
        <w:t>declarations;</w:t>
      </w:r>
      <w:r w:rsidRPr="00D61CD6">
        <w:t xml:space="preserve"> however</w:t>
      </w:r>
      <w:r w:rsidR="00A73FD0">
        <w:t>,</w:t>
      </w:r>
      <w:r w:rsidRPr="00D61CD6">
        <w:t xml:space="preserve"> the literature that is available suggests consumers are more likely to use this information when selecting products perceived to be higher in fibre and less likely when selecting products that are viewed as lower in dietary fibre. Also, consumers have limited knowledge of what is a </w:t>
      </w:r>
      <w:r w:rsidR="008F6959" w:rsidRPr="00D61CD6">
        <w:t xml:space="preserve">nutritionally </w:t>
      </w:r>
      <w:r w:rsidRPr="00D61CD6">
        <w:t>high or low level of dietary fibre.</w:t>
      </w:r>
    </w:p>
    <w:p w:rsidR="000B7C5D" w:rsidRPr="00D61CD6" w:rsidRDefault="00F17A38" w:rsidP="000B7C5D">
      <w:pPr>
        <w:pStyle w:val="FSBullet2"/>
        <w:spacing w:before="120"/>
      </w:pPr>
      <w:r w:rsidRPr="00D61CD6">
        <w:t xml:space="preserve">It is likely that inclusion of a declaration of total dietary fibre in the NIP would be a minor labelling change (for those foods that are not already declaring this information) with an estimated direct labelling cost of </w:t>
      </w:r>
      <w:r w:rsidR="00D76AED" w:rsidRPr="00D61CD6">
        <w:t xml:space="preserve">around </w:t>
      </w:r>
      <w:r w:rsidRPr="00D61CD6">
        <w:t>AU$4,0</w:t>
      </w:r>
      <w:r w:rsidR="00D76AED" w:rsidRPr="00D61CD6">
        <w:t>00</w:t>
      </w:r>
      <w:r w:rsidRPr="00D61CD6">
        <w:t xml:space="preserve"> per single SKU. </w:t>
      </w:r>
      <w:r w:rsidR="005C6FE5">
        <w:rPr>
          <w:rFonts w:cs="Arial"/>
        </w:rPr>
        <w:t>T</w:t>
      </w:r>
      <w:r w:rsidR="000B7C5D">
        <w:rPr>
          <w:rFonts w:cs="Arial"/>
        </w:rPr>
        <w:t>h</w:t>
      </w:r>
      <w:r w:rsidR="005C6FE5">
        <w:rPr>
          <w:rFonts w:cs="Arial"/>
        </w:rPr>
        <w:t>is</w:t>
      </w:r>
      <w:r w:rsidR="000B7C5D">
        <w:rPr>
          <w:rFonts w:cs="Arial"/>
        </w:rPr>
        <w:t xml:space="preserve"> estimated cost does not </w:t>
      </w:r>
      <w:r w:rsidR="000B7C5D" w:rsidRPr="0024768B">
        <w:rPr>
          <w:rFonts w:cs="Arial"/>
        </w:rPr>
        <w:t xml:space="preserve">take into consideration indirect costs </w:t>
      </w:r>
      <w:r w:rsidR="000B7C5D">
        <w:rPr>
          <w:rFonts w:cs="Arial"/>
        </w:rPr>
        <w:t>(e.g.</w:t>
      </w:r>
      <w:r w:rsidR="000B7C5D" w:rsidRPr="0024768B">
        <w:rPr>
          <w:rFonts w:cs="Arial"/>
        </w:rPr>
        <w:t xml:space="preserve"> write-off of stock in hand, </w:t>
      </w:r>
      <w:r w:rsidR="000B7C5D">
        <w:rPr>
          <w:rFonts w:cs="Arial"/>
        </w:rPr>
        <w:t xml:space="preserve">reformulation, </w:t>
      </w:r>
      <w:r w:rsidR="000B7C5D" w:rsidRPr="0024768B">
        <w:rPr>
          <w:rFonts w:cs="Arial"/>
        </w:rPr>
        <w:t>product testing, marketing costs or administrative costs</w:t>
      </w:r>
      <w:r w:rsidR="000B7C5D">
        <w:rPr>
          <w:rFonts w:cs="Arial"/>
        </w:rPr>
        <w:t>)</w:t>
      </w:r>
      <w:r w:rsidR="000B7C5D" w:rsidRPr="0024768B">
        <w:rPr>
          <w:rFonts w:cs="Arial"/>
        </w:rPr>
        <w:t>.</w:t>
      </w:r>
    </w:p>
    <w:p w:rsidR="0035227E" w:rsidRDefault="008D396B" w:rsidP="00FC5376">
      <w:pPr>
        <w:pStyle w:val="FSBullet2"/>
        <w:spacing w:before="120"/>
      </w:pPr>
      <w:r>
        <w:t xml:space="preserve">Available information suggests there are around 28,000 packaged food SKUs on supermarket shelves. </w:t>
      </w:r>
      <w:r w:rsidR="0046514E">
        <w:t>While</w:t>
      </w:r>
      <w:r w:rsidR="006E2991">
        <w:t xml:space="preserve"> noting that the </w:t>
      </w:r>
      <w:r w:rsidR="00AA1167">
        <w:t xml:space="preserve">actual </w:t>
      </w:r>
      <w:r w:rsidR="006E2991">
        <w:t>number of SKUs affected will be less because some SKUs already declare total dietary fibre in the NIP voluntarily or are exempt from requiring a NIP, the SKU figure does provide a</w:t>
      </w:r>
      <w:r w:rsidR="006E2991" w:rsidRPr="0024768B">
        <w:t xml:space="preserve"> </w:t>
      </w:r>
      <w:r w:rsidR="006E2991">
        <w:t xml:space="preserve">general </w:t>
      </w:r>
      <w:r w:rsidR="006E2991" w:rsidRPr="0024768B">
        <w:t xml:space="preserve">indication </w:t>
      </w:r>
      <w:r w:rsidR="006E2991">
        <w:t xml:space="preserve">of the magnitude of the </w:t>
      </w:r>
      <w:r w:rsidR="006E2991" w:rsidRPr="0024768B">
        <w:t>cost</w:t>
      </w:r>
      <w:r w:rsidR="006E2991">
        <w:t>s</w:t>
      </w:r>
      <w:r w:rsidR="006E2991" w:rsidRPr="0024768B">
        <w:t xml:space="preserve"> that might be </w:t>
      </w:r>
      <w:r w:rsidR="006E2991">
        <w:t xml:space="preserve">incurred if the declaration of total dietary fibre was a mandatory requirement in the NIP. </w:t>
      </w:r>
      <w:r>
        <w:t>Further work would be required, including a robust cost benefit analysis, to fully consider the costs and expected benefits of mandating the declaration of total dietary fibre in the NIP.</w:t>
      </w:r>
    </w:p>
    <w:p w:rsidR="009E749B" w:rsidRDefault="00A13FB6" w:rsidP="009E749B">
      <w:pPr>
        <w:pStyle w:val="Heading1"/>
      </w:pPr>
      <w:bookmarkStart w:id="42" w:name="_Toc379448911"/>
      <w:bookmarkEnd w:id="34"/>
      <w:bookmarkEnd w:id="35"/>
      <w:bookmarkEnd w:id="36"/>
      <w:bookmarkEnd w:id="37"/>
      <w:bookmarkEnd w:id="38"/>
      <w:r>
        <w:t>5.</w:t>
      </w:r>
      <w:r>
        <w:tab/>
      </w:r>
      <w:r w:rsidR="009E749B">
        <w:t>References</w:t>
      </w:r>
      <w:bookmarkEnd w:id="42"/>
    </w:p>
    <w:p w:rsidR="00D61CD6" w:rsidRPr="003423C4" w:rsidRDefault="00D61CD6" w:rsidP="00D61CD6">
      <w:pPr>
        <w:pStyle w:val="FootnoteText"/>
        <w:spacing w:before="120" w:after="120"/>
        <w:rPr>
          <w:sz w:val="21"/>
          <w:szCs w:val="21"/>
        </w:rPr>
      </w:pPr>
      <w:r w:rsidRPr="003423C4">
        <w:rPr>
          <w:sz w:val="21"/>
          <w:szCs w:val="21"/>
        </w:rPr>
        <w:t xml:space="preserve">Australian Bureau of Statistics (2013). Producer Price Indexes: September Quarter 2013. </w:t>
      </w:r>
      <w:hyperlink r:id="rId16" w:history="1">
        <w:r w:rsidRPr="003423C4">
          <w:rPr>
            <w:rStyle w:val="Hyperlink"/>
            <w:sz w:val="21"/>
            <w:szCs w:val="21"/>
          </w:rPr>
          <w:t>http://www.ausstats.abs.gov.au/ausstats/meisubs.nsf/0/A619C679A4F7100DCA257C15001A141C/$File/64270_sep%202013.pdf</w:t>
        </w:r>
      </w:hyperlink>
      <w:r w:rsidRPr="003423C4">
        <w:rPr>
          <w:rStyle w:val="Hyperlink"/>
          <w:sz w:val="21"/>
          <w:szCs w:val="21"/>
        </w:rPr>
        <w:t xml:space="preserve">. </w:t>
      </w:r>
      <w:r w:rsidRPr="003423C4">
        <w:rPr>
          <w:sz w:val="21"/>
          <w:szCs w:val="21"/>
        </w:rPr>
        <w:t>Accessed 24 January 2014.</w:t>
      </w:r>
    </w:p>
    <w:p w:rsidR="009E749B" w:rsidRPr="003423C4" w:rsidRDefault="009E749B" w:rsidP="00A13FB6">
      <w:pPr>
        <w:pStyle w:val="FootnoteText"/>
        <w:spacing w:before="120" w:after="120"/>
        <w:rPr>
          <w:sz w:val="21"/>
          <w:szCs w:val="21"/>
          <w:lang w:val="en-AU"/>
        </w:rPr>
      </w:pPr>
      <w:r w:rsidRPr="003423C4">
        <w:rPr>
          <w:sz w:val="21"/>
          <w:szCs w:val="21"/>
        </w:rPr>
        <w:t xml:space="preserve">Blewett N, Goddard N, Pettigrew S, Reynolds C, Yeatman H (2011) Labelling logic: Review of food labelling law and policy (2011). Department of Health and Ageing, Canberra, Australia. </w:t>
      </w:r>
      <w:hyperlink r:id="rId17" w:history="1">
        <w:r w:rsidRPr="003423C4">
          <w:rPr>
            <w:rStyle w:val="Hyperlink"/>
            <w:sz w:val="21"/>
            <w:szCs w:val="21"/>
          </w:rPr>
          <w:t>http://www.foodlabellingreview.gov.au/internet/foodlabelling/publishing.nsf/content/48C0548D80E715BCCA257825001E5DC0/$File/Labelling%20Logic_2011.pdf</w:t>
        </w:r>
      </w:hyperlink>
      <w:r w:rsidRPr="003423C4">
        <w:rPr>
          <w:sz w:val="21"/>
          <w:szCs w:val="21"/>
        </w:rPr>
        <w:t>. Accessed 2 January 2014.</w:t>
      </w:r>
    </w:p>
    <w:p w:rsidR="009409AC" w:rsidRPr="003423C4" w:rsidRDefault="009409AC" w:rsidP="00A13FB6">
      <w:pPr>
        <w:pStyle w:val="FootnoteText"/>
        <w:spacing w:before="120" w:after="120"/>
        <w:rPr>
          <w:sz w:val="21"/>
          <w:szCs w:val="21"/>
          <w:lang w:val="en-AU"/>
        </w:rPr>
      </w:pPr>
      <w:r w:rsidRPr="003423C4">
        <w:rPr>
          <w:sz w:val="21"/>
          <w:szCs w:val="21"/>
          <w:lang w:val="en-AU"/>
        </w:rPr>
        <w:t xml:space="preserve">Government Social Research Service (2014). Rapid Evidence Assessment Toolkit, </w:t>
      </w:r>
      <w:hyperlink r:id="rId18" w:history="1">
        <w:r w:rsidRPr="003423C4">
          <w:rPr>
            <w:rStyle w:val="Hyperlink"/>
            <w:sz w:val="21"/>
            <w:szCs w:val="21"/>
            <w:lang w:val="en-AU"/>
          </w:rPr>
          <w:t>http://www.civilservice.gov.uk/networks/gsr/resources-and-guidance</w:t>
        </w:r>
      </w:hyperlink>
      <w:r w:rsidRPr="003423C4">
        <w:rPr>
          <w:sz w:val="21"/>
          <w:szCs w:val="21"/>
          <w:lang w:val="en-AU"/>
        </w:rPr>
        <w:t>. Accessed 7 February 2014.</w:t>
      </w:r>
    </w:p>
    <w:p w:rsidR="005236CC" w:rsidRPr="003423C4" w:rsidRDefault="005236CC" w:rsidP="00A13FB6">
      <w:pPr>
        <w:pStyle w:val="FootnoteText"/>
        <w:spacing w:before="120" w:after="120"/>
        <w:rPr>
          <w:sz w:val="21"/>
          <w:szCs w:val="21"/>
          <w:lang w:val="en-AU"/>
        </w:rPr>
      </w:pPr>
      <w:r w:rsidRPr="003423C4">
        <w:rPr>
          <w:sz w:val="21"/>
          <w:szCs w:val="21"/>
          <w:lang w:val="en-AU"/>
        </w:rPr>
        <w:t xml:space="preserve">McLennan, W. and Podger, A (1998). National Nutrition Survey. Nutrient intakes and physical measurements. Australia. 1995. Australian Bureau of Statistics, available from </w:t>
      </w:r>
      <w:hyperlink r:id="rId19" w:history="1">
        <w:r w:rsidR="00CE0880" w:rsidRPr="003423C4">
          <w:rPr>
            <w:rStyle w:val="Hyperlink"/>
            <w:sz w:val="21"/>
            <w:szCs w:val="21"/>
            <w:lang w:val="en-AU"/>
          </w:rPr>
          <w:t>http://www.abs.gov.au/AUSSTATS/abs@.nsf/DetailsPage/4805.01995?OpenDocument</w:t>
        </w:r>
      </w:hyperlink>
      <w:r w:rsidR="00D602CE" w:rsidRPr="003423C4">
        <w:rPr>
          <w:sz w:val="21"/>
          <w:szCs w:val="21"/>
          <w:lang w:val="en-AU"/>
        </w:rPr>
        <w:t xml:space="preserve">. Accessed 30 January 2014. </w:t>
      </w:r>
    </w:p>
    <w:p w:rsidR="009E749B" w:rsidRPr="003423C4" w:rsidRDefault="009E749B" w:rsidP="00A13FB6">
      <w:pPr>
        <w:pStyle w:val="FootnoteText"/>
        <w:spacing w:before="120" w:after="120"/>
        <w:rPr>
          <w:sz w:val="21"/>
          <w:szCs w:val="21"/>
          <w:lang w:val="en-AU"/>
        </w:rPr>
      </w:pPr>
      <w:r w:rsidRPr="003423C4">
        <w:rPr>
          <w:sz w:val="21"/>
          <w:szCs w:val="21"/>
          <w:lang w:val="en-AU"/>
        </w:rPr>
        <w:t xml:space="preserve">Ministry of Health (2003) </w:t>
      </w:r>
      <w:r w:rsidRPr="003423C4">
        <w:rPr>
          <w:i/>
          <w:sz w:val="21"/>
          <w:szCs w:val="21"/>
          <w:lang w:val="en-AU"/>
        </w:rPr>
        <w:t>Food and Nutrition Guidelines for Healthy Adults: A Background Paper</w:t>
      </w:r>
      <w:r w:rsidRPr="003423C4">
        <w:rPr>
          <w:sz w:val="21"/>
          <w:szCs w:val="21"/>
          <w:lang w:val="en-AU"/>
        </w:rPr>
        <w:t xml:space="preserve"> Wellington: Ministry of Health</w:t>
      </w:r>
    </w:p>
    <w:p w:rsidR="009E749B" w:rsidRPr="003423C4" w:rsidRDefault="009E749B" w:rsidP="00A13FB6">
      <w:pPr>
        <w:pStyle w:val="FootnoteText"/>
        <w:spacing w:before="120" w:after="120"/>
        <w:rPr>
          <w:sz w:val="21"/>
          <w:szCs w:val="21"/>
          <w:lang w:val="en-AU"/>
        </w:rPr>
      </w:pPr>
      <w:r w:rsidRPr="003423C4">
        <w:rPr>
          <w:sz w:val="21"/>
          <w:szCs w:val="21"/>
          <w:lang w:val="en-AU"/>
        </w:rPr>
        <w:t xml:space="preserve">National Health and Medical Research Council (2003) </w:t>
      </w:r>
      <w:r w:rsidRPr="003423C4">
        <w:rPr>
          <w:i/>
          <w:sz w:val="21"/>
          <w:szCs w:val="21"/>
          <w:lang w:val="en-AU"/>
        </w:rPr>
        <w:t>Dietary Guidelines for Australian Adults</w:t>
      </w:r>
      <w:r w:rsidRPr="003423C4">
        <w:rPr>
          <w:sz w:val="21"/>
          <w:szCs w:val="21"/>
          <w:lang w:val="en-AU"/>
        </w:rPr>
        <w:t>. Canberra: National Health and Medical Research Council</w:t>
      </w:r>
    </w:p>
    <w:p w:rsidR="009E749B" w:rsidRPr="003423C4" w:rsidRDefault="009E749B" w:rsidP="00A13FB6">
      <w:pPr>
        <w:spacing w:before="120" w:after="120"/>
        <w:rPr>
          <w:sz w:val="21"/>
          <w:szCs w:val="21"/>
          <w:lang w:val="en-AU"/>
        </w:rPr>
      </w:pPr>
      <w:r w:rsidRPr="003423C4">
        <w:rPr>
          <w:sz w:val="21"/>
          <w:szCs w:val="21"/>
          <w:lang w:val="en-AU"/>
        </w:rPr>
        <w:t xml:space="preserve">National Health and Medical Research Council and Ministry of Health (2006). Nutrient reference values for Australia and New Zealand. Available from </w:t>
      </w:r>
      <w:hyperlink r:id="rId20" w:history="1">
        <w:r w:rsidRPr="003423C4">
          <w:rPr>
            <w:rStyle w:val="Hyperlink"/>
            <w:sz w:val="21"/>
            <w:szCs w:val="21"/>
            <w:lang w:val="en-AU"/>
          </w:rPr>
          <w:t>http://www.nhmrc.gov.au/guidelines/publications/n35-n36-n37</w:t>
        </w:r>
      </w:hyperlink>
    </w:p>
    <w:p w:rsidR="00A13FB6" w:rsidRPr="003423C4" w:rsidRDefault="009E749B" w:rsidP="00A13FB6">
      <w:pPr>
        <w:pStyle w:val="FootnoteText"/>
        <w:spacing w:before="120" w:after="120"/>
        <w:rPr>
          <w:sz w:val="21"/>
          <w:szCs w:val="21"/>
        </w:rPr>
      </w:pPr>
      <w:r w:rsidRPr="003423C4">
        <w:rPr>
          <w:sz w:val="21"/>
          <w:szCs w:val="21"/>
          <w:lang w:val="en-AU"/>
        </w:rPr>
        <w:t xml:space="preserve">National Health and Medical Research Council (2013) </w:t>
      </w:r>
      <w:r w:rsidRPr="003423C4">
        <w:rPr>
          <w:i/>
          <w:sz w:val="21"/>
          <w:szCs w:val="21"/>
          <w:lang w:val="en-AU"/>
        </w:rPr>
        <w:t>Australian Dietary Guidelines</w:t>
      </w:r>
      <w:r w:rsidRPr="003423C4">
        <w:rPr>
          <w:sz w:val="21"/>
          <w:szCs w:val="21"/>
          <w:lang w:val="en-AU"/>
        </w:rPr>
        <w:t>. Canberra: National Health and Medical Research Council</w:t>
      </w:r>
      <w:r w:rsidR="00A13FB6" w:rsidRPr="003423C4">
        <w:rPr>
          <w:sz w:val="21"/>
          <w:szCs w:val="21"/>
        </w:rPr>
        <w:t xml:space="preserve"> </w:t>
      </w:r>
    </w:p>
    <w:p w:rsidR="00A13FB6" w:rsidRPr="003423C4" w:rsidRDefault="00A13FB6" w:rsidP="00A13FB6">
      <w:pPr>
        <w:pStyle w:val="FootnoteText"/>
        <w:tabs>
          <w:tab w:val="left" w:pos="567"/>
          <w:tab w:val="left" w:pos="1134"/>
          <w:tab w:val="left" w:pos="1701"/>
          <w:tab w:val="left" w:pos="2268"/>
          <w:tab w:val="left" w:pos="2940"/>
        </w:tabs>
        <w:spacing w:before="120" w:after="120"/>
        <w:rPr>
          <w:sz w:val="21"/>
          <w:szCs w:val="21"/>
          <w:lang w:val="en-AU"/>
        </w:rPr>
      </w:pPr>
      <w:r w:rsidRPr="003423C4">
        <w:rPr>
          <w:sz w:val="21"/>
          <w:szCs w:val="21"/>
        </w:rPr>
        <w:t xml:space="preserve">PricewaterhouseCoopers (2008). Cost Schedule for Food Labelling Changes. </w:t>
      </w:r>
      <w:hyperlink r:id="rId21" w:history="1">
        <w:r w:rsidRPr="003423C4">
          <w:rPr>
            <w:rStyle w:val="Hyperlink"/>
            <w:sz w:val="21"/>
            <w:szCs w:val="21"/>
          </w:rPr>
          <w:t>http://www.foodstandards.gov.au/publications/Pages/costscheduleforfoodl5765.aspx</w:t>
        </w:r>
      </w:hyperlink>
      <w:r w:rsidRPr="003423C4">
        <w:rPr>
          <w:sz w:val="21"/>
          <w:szCs w:val="21"/>
          <w:lang w:val="en-AU"/>
        </w:rPr>
        <w:t>. Accessed 24 January 2014.</w:t>
      </w:r>
    </w:p>
    <w:p w:rsidR="00EE4160" w:rsidRPr="003423C4" w:rsidRDefault="00EE4160" w:rsidP="00A13FB6">
      <w:pPr>
        <w:pStyle w:val="FootnoteText"/>
        <w:tabs>
          <w:tab w:val="left" w:pos="567"/>
          <w:tab w:val="left" w:pos="1134"/>
          <w:tab w:val="left" w:pos="1701"/>
          <w:tab w:val="left" w:pos="2268"/>
          <w:tab w:val="left" w:pos="2940"/>
        </w:tabs>
        <w:spacing w:before="120" w:after="120"/>
        <w:rPr>
          <w:sz w:val="21"/>
          <w:szCs w:val="21"/>
          <w:lang w:val="en-AU"/>
        </w:rPr>
      </w:pPr>
      <w:r w:rsidRPr="003423C4">
        <w:rPr>
          <w:sz w:val="21"/>
          <w:szCs w:val="21"/>
        </w:rPr>
        <w:t xml:space="preserve">Stafford N, Bessey A, Densten M, Tyrbas de Chamberet G (2008) Consumer Attitudes Survey </w:t>
      </w:r>
      <w:r w:rsidRPr="003423C4">
        <w:rPr>
          <w:sz w:val="21"/>
          <w:szCs w:val="21"/>
        </w:rPr>
        <w:lastRenderedPageBreak/>
        <w:t xml:space="preserve">2007: A Benchmark Survey of Consumers’ Attitudes to Food Issues. FSANZ. Available from </w:t>
      </w:r>
      <w:hyperlink r:id="rId22" w:history="1">
        <w:r w:rsidRPr="003423C4">
          <w:rPr>
            <w:rStyle w:val="Hyperlink"/>
            <w:sz w:val="21"/>
            <w:szCs w:val="21"/>
          </w:rPr>
          <w:t>http://www.foodstandards.gov.au/publications/documents/Consumer%20Attitudes%20Survey.pdf</w:t>
        </w:r>
      </w:hyperlink>
    </w:p>
    <w:p w:rsidR="005236CC" w:rsidRDefault="005236CC" w:rsidP="00A13FB6">
      <w:pPr>
        <w:pStyle w:val="FootnoteText"/>
        <w:spacing w:before="120" w:after="120"/>
        <w:rPr>
          <w:rFonts w:cs="Arial"/>
          <w:sz w:val="21"/>
          <w:szCs w:val="21"/>
          <w:lang w:val="en-AU"/>
        </w:rPr>
      </w:pPr>
      <w:r w:rsidRPr="003423C4">
        <w:rPr>
          <w:rFonts w:cs="Arial"/>
          <w:sz w:val="21"/>
          <w:szCs w:val="21"/>
          <w:lang w:val="en-AU"/>
        </w:rPr>
        <w:fldChar w:fldCharType="begin"/>
      </w:r>
      <w:r w:rsidRPr="003423C4">
        <w:rPr>
          <w:rFonts w:cs="Arial"/>
          <w:sz w:val="21"/>
          <w:szCs w:val="21"/>
          <w:lang w:val="en-AU"/>
        </w:rPr>
        <w:instrText xml:space="preserve"> ADDIN REFMGR.CITE &lt;Refman&gt;&lt;Cite&gt;&lt;Author&gt;US Department of Agriculture (USDA) Agricultural Research Service&lt;/Author&gt;&lt;Year&gt;2013&lt;/Year&gt;&lt;RecNum&gt;324&lt;/RecNum&gt;&lt;IDText&gt;USDA National Nutrient Database for Standard Reference, Release 26. &lt;/IDText&gt;&lt;MDL Ref_Type="Generic"&gt;&lt;Ref_Type&gt;Generic&lt;/Ref_Type&gt;&lt;Ref_ID&gt;324&lt;/Ref_ID&gt;&lt;Title_Primary&gt;&lt;f name="Times New Roman"&gt;USDA National Nutrient Database for Standard Reference, Release 26. &lt;/f&gt;&lt;/Title_Primary&gt;&lt;Authors_Primary&gt;US Department of Agriculture (USDA) Agricultural Research Service&lt;/Authors_Primary&gt;&lt;Date_Primary&gt;2013&lt;/Date_Primary&gt;&lt;Reprint&gt;Not in File&lt;/Reprint&gt;&lt;Web_URL&gt;&lt;f name="Times New Roman"&gt;&lt;u&gt;http://www.ars.usda.gov/ba/bhnrc/ndl&lt;/u&gt;&lt;/f&gt;&lt;f name="Times New Roman"&gt; &lt;/f&gt;&lt;/Web_URL&gt;&lt;ZZ_WorkformID&gt;33&lt;/ZZ_WorkformID&gt;&lt;/MDL&gt;&lt;/Cite&gt;&lt;/Refman&gt;</w:instrText>
      </w:r>
      <w:r w:rsidRPr="003423C4">
        <w:rPr>
          <w:rFonts w:cs="Arial"/>
          <w:sz w:val="21"/>
          <w:szCs w:val="21"/>
          <w:lang w:val="en-AU"/>
        </w:rPr>
        <w:fldChar w:fldCharType="separate"/>
      </w:r>
      <w:r w:rsidRPr="003423C4">
        <w:rPr>
          <w:rFonts w:cs="Arial"/>
          <w:noProof/>
          <w:sz w:val="21"/>
          <w:szCs w:val="21"/>
          <w:lang w:val="en-AU"/>
        </w:rPr>
        <w:t>US Department of Agriculture</w:t>
      </w:r>
      <w:r w:rsidRPr="003423C4">
        <w:rPr>
          <w:rFonts w:cs="Arial"/>
          <w:sz w:val="21"/>
          <w:szCs w:val="21"/>
          <w:lang w:val="en-AU"/>
        </w:rPr>
        <w:fldChar w:fldCharType="end"/>
      </w:r>
      <w:r w:rsidRPr="003423C4">
        <w:rPr>
          <w:rFonts w:cs="Arial"/>
          <w:sz w:val="21"/>
          <w:szCs w:val="21"/>
          <w:lang w:val="en-AU"/>
        </w:rPr>
        <w:t xml:space="preserve">, Agricultural Research Service (2013). National nutrient database for standard reference. Release 26, Available from </w:t>
      </w:r>
      <w:r w:rsidRPr="003423C4">
        <w:rPr>
          <w:rFonts w:cs="Arial"/>
          <w:sz w:val="21"/>
          <w:szCs w:val="21"/>
        </w:rPr>
        <w:t xml:space="preserve">Nutrient Data Laboratory Home Page, </w:t>
      </w:r>
      <w:hyperlink r:id="rId23" w:history="1">
        <w:r w:rsidRPr="003423C4">
          <w:rPr>
            <w:rStyle w:val="Hyperlink"/>
            <w:rFonts w:cs="Arial"/>
            <w:sz w:val="21"/>
            <w:szCs w:val="21"/>
          </w:rPr>
          <w:t>http://www.ars.usda.gov/ba/bhnrc/ndl</w:t>
        </w:r>
      </w:hyperlink>
      <w:r w:rsidRPr="003423C4">
        <w:rPr>
          <w:rFonts w:cs="Arial"/>
          <w:sz w:val="21"/>
          <w:szCs w:val="21"/>
        </w:rPr>
        <w:t xml:space="preserve">. </w:t>
      </w:r>
      <w:r w:rsidRPr="003423C4">
        <w:rPr>
          <w:rFonts w:cs="Arial"/>
          <w:sz w:val="21"/>
          <w:szCs w:val="21"/>
          <w:lang w:val="en-AU"/>
        </w:rPr>
        <w:t>Records 20038, 20036 and 20062 respectively</w:t>
      </w:r>
    </w:p>
    <w:p w:rsidR="000F1B7C" w:rsidRPr="000F1B7C" w:rsidRDefault="000F1B7C" w:rsidP="000F1B7C">
      <w:pPr>
        <w:pStyle w:val="FootnoteText"/>
        <w:spacing w:before="120" w:after="120"/>
        <w:rPr>
          <w:rFonts w:cs="Arial"/>
          <w:sz w:val="21"/>
          <w:szCs w:val="21"/>
          <w:lang w:val="en-AU"/>
        </w:rPr>
      </w:pPr>
      <w:r w:rsidRPr="000F1B7C">
        <w:rPr>
          <w:rFonts w:cs="Arial"/>
          <w:sz w:val="21"/>
          <w:szCs w:val="21"/>
          <w:lang w:val="en-AU"/>
        </w:rPr>
        <w:t xml:space="preserve">US FDA (2014). </w:t>
      </w:r>
      <w:r w:rsidRPr="000F1B7C">
        <w:rPr>
          <w:rFonts w:cs="Arial"/>
          <w:bCs/>
          <w:sz w:val="21"/>
          <w:szCs w:val="21"/>
          <w:lang w:eastAsia="en-GB" w:bidi="ar-SA"/>
        </w:rPr>
        <w:t>Food Labeling: Revision of the Nutrition and Supplement Facts Labels; Proposed Rule. National Archives and Records Administration</w:t>
      </w:r>
      <w:r>
        <w:rPr>
          <w:rFonts w:cs="Arial"/>
          <w:bCs/>
          <w:sz w:val="21"/>
          <w:szCs w:val="21"/>
          <w:lang w:eastAsia="en-GB" w:bidi="ar-SA"/>
        </w:rPr>
        <w:t xml:space="preserve"> Federal Register</w:t>
      </w:r>
      <w:r w:rsidRPr="000F1B7C">
        <w:rPr>
          <w:rFonts w:cs="Arial"/>
          <w:bCs/>
          <w:sz w:val="21"/>
          <w:szCs w:val="21"/>
          <w:lang w:eastAsia="en-GB" w:bidi="ar-SA"/>
        </w:rPr>
        <w:t xml:space="preserve"> 79(41): 11880-11987</w:t>
      </w:r>
    </w:p>
    <w:p w:rsidR="005236CC" w:rsidRPr="003423C4" w:rsidRDefault="009E749B" w:rsidP="00A13FB6">
      <w:pPr>
        <w:pStyle w:val="FootnoteText"/>
        <w:spacing w:before="120" w:after="120"/>
        <w:rPr>
          <w:color w:val="002639"/>
          <w:sz w:val="21"/>
          <w:szCs w:val="21"/>
        </w:rPr>
      </w:pPr>
      <w:r w:rsidRPr="003423C4">
        <w:rPr>
          <w:color w:val="002639"/>
          <w:sz w:val="21"/>
          <w:szCs w:val="21"/>
        </w:rPr>
        <w:t>University of Otago and Ministry of Health (2011). A Focus on Nutrition: Key findings of the 2008/09 New Zealand Adult Nutrition Survey. Wellington: Ministry of Health.</w:t>
      </w:r>
    </w:p>
    <w:p w:rsidR="009E749B" w:rsidRDefault="009E749B" w:rsidP="009E749B">
      <w:pPr>
        <w:rPr>
          <w:lang w:val="en-AU"/>
        </w:rPr>
      </w:pPr>
    </w:p>
    <w:p w:rsidR="009E749B" w:rsidRPr="009E749B" w:rsidRDefault="009E749B" w:rsidP="009E749B"/>
    <w:sectPr w:rsidR="009E749B" w:rsidRPr="009E749B" w:rsidSect="00097E4A">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DC" w:rsidRDefault="009469DC">
      <w:r>
        <w:separator/>
      </w:r>
    </w:p>
  </w:endnote>
  <w:endnote w:type="continuationSeparator" w:id="0">
    <w:p w:rsidR="009469DC" w:rsidRDefault="0094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C" w:rsidRDefault="009469D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69DC" w:rsidRDefault="00946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119588"/>
      <w:docPartObj>
        <w:docPartGallery w:val="Page Numbers (Bottom of Page)"/>
        <w:docPartUnique/>
      </w:docPartObj>
    </w:sdtPr>
    <w:sdtEndPr>
      <w:rPr>
        <w:noProof/>
      </w:rPr>
    </w:sdtEndPr>
    <w:sdtContent>
      <w:p w:rsidR="00B11781" w:rsidRDefault="00B11781">
        <w:pPr>
          <w:pStyle w:val="Footer"/>
          <w:jc w:val="center"/>
        </w:pPr>
        <w:r>
          <w:fldChar w:fldCharType="begin"/>
        </w:r>
        <w:r>
          <w:instrText xml:space="preserve"> PAGE   \* MERGEFORMAT </w:instrText>
        </w:r>
        <w:r>
          <w:fldChar w:fldCharType="separate"/>
        </w:r>
        <w:r w:rsidR="00297F7B">
          <w:rPr>
            <w:noProof/>
          </w:rPr>
          <w:t>1</w:t>
        </w:r>
        <w:r>
          <w:rPr>
            <w:noProof/>
          </w:rPr>
          <w:fldChar w:fldCharType="end"/>
        </w:r>
      </w:p>
    </w:sdtContent>
  </w:sdt>
  <w:p w:rsidR="009469DC" w:rsidRDefault="009469DC" w:rsidP="00A671E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7B" w:rsidRDefault="00297F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DC" w:rsidRDefault="009469DC">
      <w:r>
        <w:separator/>
      </w:r>
    </w:p>
  </w:footnote>
  <w:footnote w:type="continuationSeparator" w:id="0">
    <w:p w:rsidR="009469DC" w:rsidRDefault="009469DC">
      <w:r>
        <w:continuationSeparator/>
      </w:r>
    </w:p>
  </w:footnote>
  <w:footnote w:id="1">
    <w:p w:rsidR="001D11E5" w:rsidRPr="001D11E5" w:rsidRDefault="001D11E5">
      <w:pPr>
        <w:pStyle w:val="FootnoteText"/>
        <w:rPr>
          <w:lang w:val="en-AU"/>
        </w:rPr>
      </w:pPr>
      <w:r>
        <w:rPr>
          <w:rStyle w:val="FootnoteReference"/>
        </w:rPr>
        <w:footnoteRef/>
      </w:r>
      <w:r>
        <w:t xml:space="preserve"> </w:t>
      </w:r>
      <w:r w:rsidRPr="001D11E5">
        <w:rPr>
          <w:rFonts w:cs="Arial"/>
          <w:szCs w:val="18"/>
          <w:lang w:val="en-AU"/>
        </w:rPr>
        <w:t xml:space="preserve">Stock Keeping Unit </w:t>
      </w:r>
      <w:r>
        <w:rPr>
          <w:rFonts w:cs="Arial"/>
          <w:szCs w:val="18"/>
          <w:lang w:val="en-AU"/>
        </w:rPr>
        <w:t>(SKU) –</w:t>
      </w:r>
      <w:r w:rsidRPr="001D11E5">
        <w:rPr>
          <w:rFonts w:cs="Arial"/>
          <w:szCs w:val="18"/>
          <w:lang w:val="en-AU"/>
        </w:rPr>
        <w:t xml:space="preserve"> refers</w:t>
      </w:r>
      <w:r w:rsidRPr="004B1143">
        <w:rPr>
          <w:rFonts w:cs="Arial"/>
          <w:szCs w:val="18"/>
          <w:lang w:val="en-AU"/>
        </w:rPr>
        <w:t xml:space="preserve"> to a stock-keeping unit, a unique identifier for each distinct product and</w:t>
      </w:r>
      <w:r>
        <w:rPr>
          <w:rFonts w:cs="Arial"/>
          <w:szCs w:val="18"/>
          <w:lang w:val="en-AU"/>
        </w:rPr>
        <w:t xml:space="preserve"> </w:t>
      </w:r>
      <w:r w:rsidRPr="004B1143">
        <w:rPr>
          <w:rFonts w:cs="Arial"/>
          <w:szCs w:val="18"/>
          <w:lang w:val="en-AU"/>
        </w:rPr>
        <w:t>service that can be purchased in business.</w:t>
      </w:r>
    </w:p>
  </w:footnote>
  <w:footnote w:id="2">
    <w:p w:rsidR="009469DC" w:rsidRPr="00616DAD" w:rsidRDefault="009469DC">
      <w:pPr>
        <w:pStyle w:val="FootnoteText"/>
        <w:rPr>
          <w:sz w:val="18"/>
          <w:szCs w:val="18"/>
          <w:lang w:val="en-AU"/>
        </w:rPr>
      </w:pPr>
      <w:r w:rsidRPr="00616DAD">
        <w:rPr>
          <w:rStyle w:val="FootnoteReference"/>
          <w:sz w:val="18"/>
          <w:szCs w:val="18"/>
        </w:rPr>
        <w:footnoteRef/>
      </w:r>
      <w:r w:rsidRPr="00616DAD">
        <w:rPr>
          <w:sz w:val="18"/>
          <w:szCs w:val="18"/>
        </w:rPr>
        <w:t xml:space="preserve"> </w:t>
      </w:r>
      <w:r>
        <w:rPr>
          <w:sz w:val="18"/>
          <w:szCs w:val="18"/>
        </w:rPr>
        <w:t xml:space="preserve">Recommendation 12: That </w:t>
      </w:r>
      <w:r>
        <w:rPr>
          <w:rStyle w:val="ms-rtefontsize-21"/>
          <w:rFonts w:cs="Arial"/>
          <w:sz w:val="18"/>
          <w:szCs w:val="18"/>
        </w:rPr>
        <w:t>w</w:t>
      </w:r>
      <w:r w:rsidRPr="00616DAD">
        <w:rPr>
          <w:rStyle w:val="ms-rtefontsize-21"/>
          <w:rFonts w:cs="Arial"/>
          <w:sz w:val="18"/>
          <w:szCs w:val="18"/>
        </w:rPr>
        <w:t>here sugars, fats or vegetable oils are added as separate ingredients in a food, the terms ‘added sugars’ and ‘added fats’ and/or ‘added vegetable oils’ be used in the ingredient list as the generic term, followed by a bracketed list (e.g., added sugars (fructose, glucose syrup, honey), added fats (palm oil, milk fat) or added vegetable oils (sunflower oil, palm oil).</w:t>
      </w:r>
    </w:p>
  </w:footnote>
  <w:footnote w:id="3">
    <w:p w:rsidR="009469DC" w:rsidRPr="00616DAD" w:rsidRDefault="009469DC">
      <w:pPr>
        <w:pStyle w:val="FootnoteText"/>
        <w:rPr>
          <w:sz w:val="18"/>
          <w:szCs w:val="18"/>
          <w:lang w:val="en-AU"/>
        </w:rPr>
      </w:pPr>
      <w:r w:rsidRPr="00616DAD">
        <w:rPr>
          <w:rStyle w:val="FootnoteReference"/>
          <w:sz w:val="18"/>
          <w:szCs w:val="18"/>
        </w:rPr>
        <w:footnoteRef/>
      </w:r>
      <w:r w:rsidRPr="00616DAD">
        <w:rPr>
          <w:sz w:val="18"/>
          <w:szCs w:val="18"/>
        </w:rPr>
        <w:t xml:space="preserve"> Recommendation 13: </w:t>
      </w:r>
      <w:r>
        <w:rPr>
          <w:sz w:val="18"/>
          <w:szCs w:val="18"/>
        </w:rPr>
        <w:t xml:space="preserve">That </w:t>
      </w:r>
      <w:r>
        <w:rPr>
          <w:rFonts w:cs="Arial"/>
          <w:sz w:val="18"/>
          <w:szCs w:val="18"/>
        </w:rPr>
        <w:t>m</w:t>
      </w:r>
      <w:r w:rsidRPr="00616DAD">
        <w:rPr>
          <w:rFonts w:cs="Arial"/>
          <w:sz w:val="18"/>
          <w:szCs w:val="18"/>
        </w:rPr>
        <w:t>andatory declaration of all trans fatty acids above an agreed threshold be introduced in the Nutrition Information Panel if manufactured trans fatty acids have not been phased out of the food supply by January 2013</w:t>
      </w:r>
      <w:r>
        <w:rPr>
          <w:rFonts w:cs="Arial"/>
          <w:sz w:val="18"/>
          <w:szCs w:val="18"/>
        </w:rPr>
        <w:t>.</w:t>
      </w:r>
    </w:p>
  </w:footnote>
  <w:footnote w:id="4">
    <w:p w:rsidR="00161FFA" w:rsidRPr="00FC5376" w:rsidRDefault="00161FFA" w:rsidP="00161FFA">
      <w:pPr>
        <w:pStyle w:val="Footer"/>
        <w:rPr>
          <w:sz w:val="18"/>
          <w:szCs w:val="18"/>
        </w:rPr>
      </w:pPr>
      <w:r>
        <w:rPr>
          <w:rStyle w:val="FootnoteReference"/>
        </w:rPr>
        <w:footnoteRef/>
      </w:r>
      <w:r>
        <w:t xml:space="preserve"> </w:t>
      </w:r>
      <w:r w:rsidRPr="00FC5376">
        <w:rPr>
          <w:sz w:val="18"/>
          <w:szCs w:val="18"/>
        </w:rPr>
        <w:t>Refined dietary fibre is defined as highly refined, purified or synthesised substances that meet appropriate specifications for identity and purity under Standard 1.3.4 or are otherwise in a refined and/or concentrated form.</w:t>
      </w:r>
    </w:p>
    <w:p w:rsidR="00161FFA" w:rsidRPr="00FC5376" w:rsidRDefault="00161FFA">
      <w:pPr>
        <w:pStyle w:val="FootnoteText"/>
        <w:rPr>
          <w:lang w:val="en-AU"/>
        </w:rPr>
      </w:pPr>
    </w:p>
  </w:footnote>
  <w:footnote w:id="5">
    <w:p w:rsidR="009469DC" w:rsidRPr="004E2EE6" w:rsidRDefault="009469DC">
      <w:pPr>
        <w:pStyle w:val="FootnoteText"/>
        <w:rPr>
          <w:lang w:val="en-AU"/>
        </w:rPr>
      </w:pPr>
      <w:r>
        <w:rPr>
          <w:rStyle w:val="FootnoteReference"/>
        </w:rPr>
        <w:footnoteRef/>
      </w:r>
      <w:r>
        <w:t xml:space="preserve"> </w:t>
      </w:r>
      <w:r>
        <w:rPr>
          <w:lang w:val="en-AU"/>
        </w:rPr>
        <w:t xml:space="preserve">Code of Federal Regulations, Chapter 21 </w:t>
      </w:r>
      <w:r>
        <w:rPr>
          <w:rFonts w:cs="Arial"/>
          <w:lang w:val="en-AU"/>
        </w:rPr>
        <w:t>§</w:t>
      </w:r>
      <w:r>
        <w:rPr>
          <w:lang w:val="en-AU"/>
        </w:rPr>
        <w:t>101.9(c)(6)(i)</w:t>
      </w:r>
    </w:p>
  </w:footnote>
  <w:footnote w:id="6">
    <w:p w:rsidR="009469DC" w:rsidRPr="004E2EE6" w:rsidRDefault="009469DC">
      <w:pPr>
        <w:pStyle w:val="FootnoteText"/>
        <w:rPr>
          <w:lang w:val="en-AU"/>
        </w:rPr>
      </w:pPr>
      <w:r>
        <w:rPr>
          <w:rStyle w:val="FootnoteReference"/>
        </w:rPr>
        <w:footnoteRef/>
      </w:r>
      <w:r>
        <w:t xml:space="preserve"> </w:t>
      </w:r>
      <w:r>
        <w:rPr>
          <w:lang w:val="en-AU"/>
        </w:rPr>
        <w:t>Canadian Food and Drug Regulations, B.01.401</w:t>
      </w:r>
    </w:p>
  </w:footnote>
  <w:footnote w:id="7">
    <w:p w:rsidR="00326549" w:rsidRPr="00326549" w:rsidRDefault="00326549">
      <w:pPr>
        <w:pStyle w:val="FootnoteText"/>
      </w:pPr>
      <w:r>
        <w:rPr>
          <w:rStyle w:val="FootnoteReference"/>
        </w:rPr>
        <w:footnoteRef/>
      </w:r>
      <w:r>
        <w:t xml:space="preserve"> A rapid evidence assessment</w:t>
      </w:r>
      <w:r w:rsidR="00704229">
        <w:t xml:space="preserve"> (REA) </w:t>
      </w:r>
      <w:r>
        <w:t xml:space="preserve">is a </w:t>
      </w:r>
      <w:r w:rsidR="00704229">
        <w:t xml:space="preserve">systematic and rigorous approach to reviewing the evidence concerning a specific research question. The ‘rapid’ adjective of the REA is in constraining the focus of the assessment so that search, retrieval, filtering, review and critique </w:t>
      </w:r>
      <w:r w:rsidR="009409AC">
        <w:t xml:space="preserve">of literature </w:t>
      </w:r>
      <w:r w:rsidR="00704229">
        <w:t>take</w:t>
      </w:r>
      <w:r w:rsidR="009409AC">
        <w:t>s</w:t>
      </w:r>
      <w:r w:rsidR="00704229">
        <w:t xml:space="preserve"> place within a narrow and well-defined scope</w:t>
      </w:r>
      <w:r w:rsidR="009409AC">
        <w:t xml:space="preserve"> (Government Social Research Service 2014)</w:t>
      </w:r>
      <w:r w:rsidR="001C6BF7">
        <w:t>.</w:t>
      </w:r>
      <w:r w:rsidR="00596830">
        <w:t xml:space="preserve"> In this case the major limit was on use of fibre information in the NIP rather than all references to fibre information use by consumers.</w:t>
      </w:r>
    </w:p>
  </w:footnote>
  <w:footnote w:id="8">
    <w:p w:rsidR="009469DC" w:rsidRPr="00E61AB2" w:rsidRDefault="009469DC">
      <w:pPr>
        <w:pStyle w:val="FootnoteText"/>
        <w:rPr>
          <w:lang w:val="en-AU"/>
        </w:rPr>
      </w:pPr>
      <w:r>
        <w:rPr>
          <w:rStyle w:val="FootnoteReference"/>
        </w:rPr>
        <w:footnoteRef/>
      </w:r>
      <w:r>
        <w:t xml:space="preserve"> </w:t>
      </w:r>
      <w:r>
        <w:rPr>
          <w:lang w:val="en-AU"/>
        </w:rPr>
        <w:t>%DI refers to ‘percentage of daily intake’. The Code lists daily intakes values for various nutrients, with a value of 30 g/day applied to dietary fibre.</w:t>
      </w:r>
    </w:p>
  </w:footnote>
  <w:footnote w:id="9">
    <w:p w:rsidR="001D11E5" w:rsidRPr="001D11E5" w:rsidRDefault="001D11E5">
      <w:pPr>
        <w:pStyle w:val="FootnoteText"/>
        <w:rPr>
          <w:lang w:val="en-AU"/>
        </w:rPr>
      </w:pPr>
      <w:r>
        <w:rPr>
          <w:rStyle w:val="FootnoteReference"/>
        </w:rPr>
        <w:footnoteRef/>
      </w:r>
      <w:r>
        <w:t xml:space="preserve"> </w:t>
      </w:r>
      <w:r w:rsidRPr="001D11E5">
        <w:rPr>
          <w:rFonts w:cs="Arial"/>
          <w:szCs w:val="18"/>
          <w:lang w:val="en-AU"/>
        </w:rPr>
        <w:t xml:space="preserve">Stock Keeping Unit </w:t>
      </w:r>
      <w:r>
        <w:rPr>
          <w:rFonts w:cs="Arial"/>
          <w:szCs w:val="18"/>
          <w:lang w:val="en-AU"/>
        </w:rPr>
        <w:t>(SKU) –</w:t>
      </w:r>
      <w:r w:rsidRPr="001D11E5">
        <w:rPr>
          <w:rFonts w:cs="Arial"/>
          <w:szCs w:val="18"/>
          <w:lang w:val="en-AU"/>
        </w:rPr>
        <w:t xml:space="preserve"> refers</w:t>
      </w:r>
      <w:r w:rsidRPr="004B1143">
        <w:rPr>
          <w:rFonts w:cs="Arial"/>
          <w:szCs w:val="18"/>
          <w:lang w:val="en-AU"/>
        </w:rPr>
        <w:t xml:space="preserve"> to a stock-keeping unit, a unique identifier for each distinct product and</w:t>
      </w:r>
      <w:r>
        <w:rPr>
          <w:rFonts w:cs="Arial"/>
          <w:szCs w:val="18"/>
          <w:lang w:val="en-AU"/>
        </w:rPr>
        <w:t xml:space="preserve"> </w:t>
      </w:r>
      <w:r w:rsidRPr="004B1143">
        <w:rPr>
          <w:rFonts w:cs="Arial"/>
          <w:szCs w:val="18"/>
          <w:lang w:val="en-AU"/>
        </w:rPr>
        <w:t>service that can be purchased in business.</w:t>
      </w:r>
    </w:p>
  </w:footnote>
  <w:footnote w:id="10">
    <w:p w:rsidR="00B51376" w:rsidRPr="00B51376" w:rsidRDefault="00B51376">
      <w:pPr>
        <w:pStyle w:val="FootnoteText"/>
        <w:rPr>
          <w:lang w:val="en-AU"/>
        </w:rPr>
      </w:pPr>
      <w:r>
        <w:rPr>
          <w:rStyle w:val="FootnoteReference"/>
        </w:rPr>
        <w:footnoteRef/>
      </w:r>
      <w:r>
        <w:t xml:space="preserve"> </w:t>
      </w:r>
      <w:r w:rsidRPr="00B51376">
        <w:t xml:space="preserve">Woolworths Ltd. (2014) </w:t>
      </w:r>
      <w:r w:rsidRPr="00B51376">
        <w:rPr>
          <w:i/>
        </w:rPr>
        <w:t>personal communication</w:t>
      </w:r>
      <w:r w:rsidRPr="00B51376">
        <w:t xml:space="preserve"> 14 February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7B" w:rsidRDefault="00297F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C" w:rsidRDefault="009469DC">
    <w:pPr>
      <w:pStyle w:val="Header"/>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DC" w:rsidRDefault="009469D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4D8E"/>
    <w:multiLevelType w:val="hybridMultilevel"/>
    <w:tmpl w:val="09AA04BA"/>
    <w:lvl w:ilvl="0" w:tplc="14090001">
      <w:start w:val="1"/>
      <w:numFmt w:val="bullet"/>
      <w:lvlText w:val=""/>
      <w:lvlJc w:val="left"/>
      <w:pPr>
        <w:ind w:left="720" w:hanging="360"/>
      </w:pPr>
      <w:rPr>
        <w:rFonts w:ascii="Symbol" w:hAnsi="Symbol" w:hint="default"/>
      </w:rPr>
    </w:lvl>
    <w:lvl w:ilvl="1" w:tplc="2A4E6F1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395A915C"/>
    <w:lvl w:ilvl="0" w:tplc="1B563ACE">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7F67AEC"/>
    <w:multiLevelType w:val="hybridMultilevel"/>
    <w:tmpl w:val="1A28F476"/>
    <w:lvl w:ilvl="0" w:tplc="C33211F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51590"/>
    <w:multiLevelType w:val="hybridMultilevel"/>
    <w:tmpl w:val="C6AC3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6054271"/>
    <w:multiLevelType w:val="hybridMultilevel"/>
    <w:tmpl w:val="7AC0B316"/>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3859C9"/>
    <w:multiLevelType w:val="hybridMultilevel"/>
    <w:tmpl w:val="9D7E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0B1531"/>
    <w:multiLevelType w:val="hybridMultilevel"/>
    <w:tmpl w:val="74B83008"/>
    <w:lvl w:ilvl="0" w:tplc="757477E6">
      <w:start w:val="1"/>
      <w:numFmt w:val="lowerLetter"/>
      <w:lvlText w:val="%1)"/>
      <w:lvlJc w:val="left"/>
      <w:pPr>
        <w:ind w:left="1287" w:hanging="360"/>
      </w:pPr>
      <w:rPr>
        <w:rFonts w:hint="default"/>
        <w:sz w:val="24"/>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F697A0E"/>
    <w:multiLevelType w:val="hybridMultilevel"/>
    <w:tmpl w:val="00A06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76D0191"/>
    <w:multiLevelType w:val="hybridMultilevel"/>
    <w:tmpl w:val="A39C1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C03D80"/>
    <w:multiLevelType w:val="hybridMultilevel"/>
    <w:tmpl w:val="1E76E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FA25EE"/>
    <w:multiLevelType w:val="hybridMultilevel"/>
    <w:tmpl w:val="9150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FA0CC1"/>
    <w:multiLevelType w:val="hybridMultilevel"/>
    <w:tmpl w:val="0B064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C7639C"/>
    <w:multiLevelType w:val="hybridMultilevel"/>
    <w:tmpl w:val="498AC0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D43FCE"/>
    <w:multiLevelType w:val="hybridMultilevel"/>
    <w:tmpl w:val="263AE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1644E9"/>
    <w:multiLevelType w:val="hybridMultilevel"/>
    <w:tmpl w:val="D4CC0EE4"/>
    <w:lvl w:ilvl="0" w:tplc="98E29558">
      <w:start w:val="1"/>
      <w:numFmt w:val="lowerLetter"/>
      <w:lvlText w:val="%1)"/>
      <w:lvlJc w:val="left"/>
      <w:pPr>
        <w:ind w:left="720" w:hanging="360"/>
      </w:pPr>
      <w:rPr>
        <w:rFonts w:ascii="Arial" w:hAnsi="Arial" w:hint="default"/>
        <w:sz w:val="22"/>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F1A45CE"/>
    <w:multiLevelType w:val="hybridMultilevel"/>
    <w:tmpl w:val="68B2EF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FF03F01"/>
    <w:multiLevelType w:val="hybridMultilevel"/>
    <w:tmpl w:val="1AB62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6E11B57"/>
    <w:multiLevelType w:val="hybridMultilevel"/>
    <w:tmpl w:val="2B20F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1755AD1"/>
    <w:multiLevelType w:val="hybridMultilevel"/>
    <w:tmpl w:val="406CDF4E"/>
    <w:lvl w:ilvl="0" w:tplc="EEB42172">
      <w:start w:val="1"/>
      <w:numFmt w:val="bullet"/>
      <w:lvlText w:val=""/>
      <w:lvlJc w:val="left"/>
      <w:pPr>
        <w:ind w:left="360" w:hanging="360"/>
      </w:pPr>
      <w:rPr>
        <w:rFonts w:ascii="Symbol" w:hAnsi="Symbol" w:hint="default"/>
      </w:rPr>
    </w:lvl>
    <w:lvl w:ilvl="1" w:tplc="51DCCB3C">
      <w:start w:val="6"/>
      <w:numFmt w:val="bullet"/>
      <w:lvlText w:val="•"/>
      <w:lvlJc w:val="left"/>
      <w:pPr>
        <w:ind w:left="1639" w:hanging="570"/>
      </w:pPr>
      <w:rPr>
        <w:rFonts w:ascii="Arial" w:eastAsiaTheme="minorHAnsi" w:hAnsi="Arial" w:cs="Arial"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2">
    <w:nsid w:val="7AA84C11"/>
    <w:multiLevelType w:val="hybridMultilevel"/>
    <w:tmpl w:val="D5F8403A"/>
    <w:lvl w:ilvl="0" w:tplc="EA74F3E2">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C80921"/>
    <w:multiLevelType w:val="hybridMultilevel"/>
    <w:tmpl w:val="D0A83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9"/>
  </w:num>
  <w:num w:numId="5">
    <w:abstractNumId w:val="18"/>
  </w:num>
  <w:num w:numId="6">
    <w:abstractNumId w:val="10"/>
  </w:num>
  <w:num w:numId="7">
    <w:abstractNumId w:val="16"/>
  </w:num>
  <w:num w:numId="8">
    <w:abstractNumId w:val="11"/>
  </w:num>
  <w:num w:numId="9">
    <w:abstractNumId w:val="14"/>
  </w:num>
  <w:num w:numId="10">
    <w:abstractNumId w:val="15"/>
  </w:num>
  <w:num w:numId="11">
    <w:abstractNumId w:val="8"/>
  </w:num>
  <w:num w:numId="12">
    <w:abstractNumId w:val="4"/>
  </w:num>
  <w:num w:numId="13">
    <w:abstractNumId w:val="21"/>
  </w:num>
  <w:num w:numId="14">
    <w:abstractNumId w:val="5"/>
  </w:num>
  <w:num w:numId="15">
    <w:abstractNumId w:val="17"/>
  </w:num>
  <w:num w:numId="16">
    <w:abstractNumId w:val="12"/>
  </w:num>
  <w:num w:numId="17">
    <w:abstractNumId w:val="6"/>
  </w:num>
  <w:num w:numId="18">
    <w:abstractNumId w:val="0"/>
  </w:num>
  <w:num w:numId="19">
    <w:abstractNumId w:val="19"/>
  </w:num>
  <w:num w:numId="20">
    <w:abstractNumId w:val="20"/>
  </w:num>
  <w:num w:numId="21">
    <w:abstractNumId w:val="13"/>
  </w:num>
  <w:num w:numId="22">
    <w:abstractNumId w:val="23"/>
  </w:num>
  <w:num w:numId="23">
    <w:abstractNumId w:val="2"/>
  </w:num>
  <w:num w:numId="24">
    <w:abstractNumId w:val="22"/>
  </w:num>
  <w:num w:numId="25">
    <w:abstractNumId w:val="1"/>
  </w:num>
  <w:num w:numId="26">
    <w:abstractNumId w:val="1"/>
  </w:num>
  <w:num w:numId="2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19B0"/>
    <w:rsid w:val="00001E17"/>
    <w:rsid w:val="0000247B"/>
    <w:rsid w:val="0000469B"/>
    <w:rsid w:val="00010835"/>
    <w:rsid w:val="00010E79"/>
    <w:rsid w:val="00013F10"/>
    <w:rsid w:val="00014A92"/>
    <w:rsid w:val="00014E34"/>
    <w:rsid w:val="000220F6"/>
    <w:rsid w:val="00022211"/>
    <w:rsid w:val="00027241"/>
    <w:rsid w:val="00027FCF"/>
    <w:rsid w:val="00035FF3"/>
    <w:rsid w:val="00040612"/>
    <w:rsid w:val="000418F0"/>
    <w:rsid w:val="00042A65"/>
    <w:rsid w:val="00042B5A"/>
    <w:rsid w:val="00051021"/>
    <w:rsid w:val="000524F0"/>
    <w:rsid w:val="00052D54"/>
    <w:rsid w:val="00054510"/>
    <w:rsid w:val="00054AFA"/>
    <w:rsid w:val="000552A1"/>
    <w:rsid w:val="00055630"/>
    <w:rsid w:val="00056176"/>
    <w:rsid w:val="000562F8"/>
    <w:rsid w:val="000575FE"/>
    <w:rsid w:val="000576EB"/>
    <w:rsid w:val="00062CCD"/>
    <w:rsid w:val="00064B2D"/>
    <w:rsid w:val="00064B80"/>
    <w:rsid w:val="00065C55"/>
    <w:rsid w:val="00065F1F"/>
    <w:rsid w:val="00067AC7"/>
    <w:rsid w:val="00067B22"/>
    <w:rsid w:val="00070BC2"/>
    <w:rsid w:val="00073ECD"/>
    <w:rsid w:val="00074D56"/>
    <w:rsid w:val="00075910"/>
    <w:rsid w:val="00076D33"/>
    <w:rsid w:val="00076D3B"/>
    <w:rsid w:val="00077AEA"/>
    <w:rsid w:val="000809A1"/>
    <w:rsid w:val="00080F3B"/>
    <w:rsid w:val="00081916"/>
    <w:rsid w:val="00081B0A"/>
    <w:rsid w:val="000868E8"/>
    <w:rsid w:val="00093CC9"/>
    <w:rsid w:val="00095C88"/>
    <w:rsid w:val="00097078"/>
    <w:rsid w:val="00097E4A"/>
    <w:rsid w:val="000A180B"/>
    <w:rsid w:val="000A3422"/>
    <w:rsid w:val="000A397C"/>
    <w:rsid w:val="000A3D8B"/>
    <w:rsid w:val="000A4DA2"/>
    <w:rsid w:val="000B05F0"/>
    <w:rsid w:val="000B427A"/>
    <w:rsid w:val="000B44C1"/>
    <w:rsid w:val="000B51DF"/>
    <w:rsid w:val="000B6AF2"/>
    <w:rsid w:val="000B7C5D"/>
    <w:rsid w:val="000C3292"/>
    <w:rsid w:val="000C55E0"/>
    <w:rsid w:val="000C6516"/>
    <w:rsid w:val="000C687F"/>
    <w:rsid w:val="000C6E48"/>
    <w:rsid w:val="000D1887"/>
    <w:rsid w:val="000D2714"/>
    <w:rsid w:val="000D4560"/>
    <w:rsid w:val="000D6FD4"/>
    <w:rsid w:val="000D7B1C"/>
    <w:rsid w:val="000E0AE4"/>
    <w:rsid w:val="000E1EA4"/>
    <w:rsid w:val="000E2821"/>
    <w:rsid w:val="000E3DBC"/>
    <w:rsid w:val="000E662F"/>
    <w:rsid w:val="000F03D0"/>
    <w:rsid w:val="000F0599"/>
    <w:rsid w:val="000F1B7C"/>
    <w:rsid w:val="000F28F3"/>
    <w:rsid w:val="000F3304"/>
    <w:rsid w:val="000F3CFE"/>
    <w:rsid w:val="000F404F"/>
    <w:rsid w:val="000F4AF5"/>
    <w:rsid w:val="000F6568"/>
    <w:rsid w:val="00102819"/>
    <w:rsid w:val="00106261"/>
    <w:rsid w:val="0010778D"/>
    <w:rsid w:val="001122EC"/>
    <w:rsid w:val="001158E8"/>
    <w:rsid w:val="0012388D"/>
    <w:rsid w:val="001238D6"/>
    <w:rsid w:val="0012447E"/>
    <w:rsid w:val="00133034"/>
    <w:rsid w:val="00142E01"/>
    <w:rsid w:val="001468D1"/>
    <w:rsid w:val="00150B54"/>
    <w:rsid w:val="00152781"/>
    <w:rsid w:val="00153FB8"/>
    <w:rsid w:val="0015559A"/>
    <w:rsid w:val="00156FA9"/>
    <w:rsid w:val="00161FFA"/>
    <w:rsid w:val="00162B5F"/>
    <w:rsid w:val="00164DB3"/>
    <w:rsid w:val="0017108A"/>
    <w:rsid w:val="00181170"/>
    <w:rsid w:val="00181481"/>
    <w:rsid w:val="0018154A"/>
    <w:rsid w:val="00181E36"/>
    <w:rsid w:val="00182C4C"/>
    <w:rsid w:val="00182F6E"/>
    <w:rsid w:val="0018437F"/>
    <w:rsid w:val="001878C5"/>
    <w:rsid w:val="0019157C"/>
    <w:rsid w:val="0019399D"/>
    <w:rsid w:val="00193F4C"/>
    <w:rsid w:val="00194C4C"/>
    <w:rsid w:val="001957D4"/>
    <w:rsid w:val="001968D4"/>
    <w:rsid w:val="00197D8D"/>
    <w:rsid w:val="001A0ED1"/>
    <w:rsid w:val="001A1A75"/>
    <w:rsid w:val="001A6252"/>
    <w:rsid w:val="001A7E9A"/>
    <w:rsid w:val="001B0F8C"/>
    <w:rsid w:val="001C12DF"/>
    <w:rsid w:val="001C19FA"/>
    <w:rsid w:val="001C20F0"/>
    <w:rsid w:val="001C27A3"/>
    <w:rsid w:val="001C4A31"/>
    <w:rsid w:val="001C4F75"/>
    <w:rsid w:val="001C584E"/>
    <w:rsid w:val="001C6BF7"/>
    <w:rsid w:val="001D11E5"/>
    <w:rsid w:val="001D3668"/>
    <w:rsid w:val="001D7156"/>
    <w:rsid w:val="001E09FA"/>
    <w:rsid w:val="001E25BB"/>
    <w:rsid w:val="00200787"/>
    <w:rsid w:val="00202A6F"/>
    <w:rsid w:val="002032A2"/>
    <w:rsid w:val="002046E9"/>
    <w:rsid w:val="00206605"/>
    <w:rsid w:val="00210012"/>
    <w:rsid w:val="0022197C"/>
    <w:rsid w:val="00221D07"/>
    <w:rsid w:val="00221FB4"/>
    <w:rsid w:val="00224E3B"/>
    <w:rsid w:val="00227E4A"/>
    <w:rsid w:val="00231129"/>
    <w:rsid w:val="0023617C"/>
    <w:rsid w:val="002421C1"/>
    <w:rsid w:val="00242E54"/>
    <w:rsid w:val="00245BC5"/>
    <w:rsid w:val="0024768B"/>
    <w:rsid w:val="002575DF"/>
    <w:rsid w:val="00260485"/>
    <w:rsid w:val="00263D63"/>
    <w:rsid w:val="002714E7"/>
    <w:rsid w:val="00271676"/>
    <w:rsid w:val="00273C3C"/>
    <w:rsid w:val="002758A0"/>
    <w:rsid w:val="00277262"/>
    <w:rsid w:val="002805FE"/>
    <w:rsid w:val="002837AB"/>
    <w:rsid w:val="0029204E"/>
    <w:rsid w:val="002954FA"/>
    <w:rsid w:val="00296D32"/>
    <w:rsid w:val="00297F7B"/>
    <w:rsid w:val="002A0194"/>
    <w:rsid w:val="002A2285"/>
    <w:rsid w:val="002A504B"/>
    <w:rsid w:val="002A52C9"/>
    <w:rsid w:val="002A5F8B"/>
    <w:rsid w:val="002A5FCA"/>
    <w:rsid w:val="002A73AF"/>
    <w:rsid w:val="002A7F6C"/>
    <w:rsid w:val="002B0D75"/>
    <w:rsid w:val="002B1311"/>
    <w:rsid w:val="002B1909"/>
    <w:rsid w:val="002B434C"/>
    <w:rsid w:val="002C04ED"/>
    <w:rsid w:val="002D0251"/>
    <w:rsid w:val="002D05A7"/>
    <w:rsid w:val="002D07E5"/>
    <w:rsid w:val="002D0858"/>
    <w:rsid w:val="002D2370"/>
    <w:rsid w:val="002D36ED"/>
    <w:rsid w:val="002D40E0"/>
    <w:rsid w:val="002D4238"/>
    <w:rsid w:val="002D513A"/>
    <w:rsid w:val="002E1820"/>
    <w:rsid w:val="002E2A4B"/>
    <w:rsid w:val="002F012E"/>
    <w:rsid w:val="002F1C79"/>
    <w:rsid w:val="002F35EA"/>
    <w:rsid w:val="002F6488"/>
    <w:rsid w:val="002F6EA7"/>
    <w:rsid w:val="002F731A"/>
    <w:rsid w:val="00305445"/>
    <w:rsid w:val="00305C54"/>
    <w:rsid w:val="00307D3C"/>
    <w:rsid w:val="0031016C"/>
    <w:rsid w:val="00314700"/>
    <w:rsid w:val="003213F9"/>
    <w:rsid w:val="00321ECF"/>
    <w:rsid w:val="00323AB6"/>
    <w:rsid w:val="00323DBF"/>
    <w:rsid w:val="00326549"/>
    <w:rsid w:val="00327867"/>
    <w:rsid w:val="00330525"/>
    <w:rsid w:val="00332B12"/>
    <w:rsid w:val="00337CBC"/>
    <w:rsid w:val="003401F3"/>
    <w:rsid w:val="003404B4"/>
    <w:rsid w:val="003423C4"/>
    <w:rsid w:val="0034273C"/>
    <w:rsid w:val="003428FC"/>
    <w:rsid w:val="00343D5C"/>
    <w:rsid w:val="0034660F"/>
    <w:rsid w:val="00346C31"/>
    <w:rsid w:val="00350511"/>
    <w:rsid w:val="003507DB"/>
    <w:rsid w:val="0035168E"/>
    <w:rsid w:val="00351B07"/>
    <w:rsid w:val="0035227E"/>
    <w:rsid w:val="00353EC0"/>
    <w:rsid w:val="00354826"/>
    <w:rsid w:val="003568B5"/>
    <w:rsid w:val="00360675"/>
    <w:rsid w:val="00364C07"/>
    <w:rsid w:val="0036533D"/>
    <w:rsid w:val="003659CA"/>
    <w:rsid w:val="00371B29"/>
    <w:rsid w:val="00372E5A"/>
    <w:rsid w:val="003766F8"/>
    <w:rsid w:val="00380106"/>
    <w:rsid w:val="003814F0"/>
    <w:rsid w:val="003815AA"/>
    <w:rsid w:val="00381679"/>
    <w:rsid w:val="00381E07"/>
    <w:rsid w:val="00381FBA"/>
    <w:rsid w:val="003823DE"/>
    <w:rsid w:val="0038525B"/>
    <w:rsid w:val="00385788"/>
    <w:rsid w:val="00386AF4"/>
    <w:rsid w:val="00390BFA"/>
    <w:rsid w:val="00390DB6"/>
    <w:rsid w:val="00391769"/>
    <w:rsid w:val="00392BF1"/>
    <w:rsid w:val="003953E1"/>
    <w:rsid w:val="003956B3"/>
    <w:rsid w:val="003A0A4D"/>
    <w:rsid w:val="003A25EF"/>
    <w:rsid w:val="003A2C64"/>
    <w:rsid w:val="003A3D30"/>
    <w:rsid w:val="003A68BE"/>
    <w:rsid w:val="003A7B84"/>
    <w:rsid w:val="003B2545"/>
    <w:rsid w:val="003C4969"/>
    <w:rsid w:val="003C77A2"/>
    <w:rsid w:val="003D2984"/>
    <w:rsid w:val="003D2CDC"/>
    <w:rsid w:val="003D3F60"/>
    <w:rsid w:val="003D4A98"/>
    <w:rsid w:val="003D69CB"/>
    <w:rsid w:val="003D6B72"/>
    <w:rsid w:val="003E1730"/>
    <w:rsid w:val="003E41D5"/>
    <w:rsid w:val="003E46BA"/>
    <w:rsid w:val="003E4999"/>
    <w:rsid w:val="003F25A8"/>
    <w:rsid w:val="003F74C1"/>
    <w:rsid w:val="00405B1A"/>
    <w:rsid w:val="0040624B"/>
    <w:rsid w:val="00407D08"/>
    <w:rsid w:val="00410676"/>
    <w:rsid w:val="00410C76"/>
    <w:rsid w:val="00411907"/>
    <w:rsid w:val="0041584A"/>
    <w:rsid w:val="00417EE3"/>
    <w:rsid w:val="004207EB"/>
    <w:rsid w:val="00421730"/>
    <w:rsid w:val="00421D3E"/>
    <w:rsid w:val="00422BAF"/>
    <w:rsid w:val="00422EC9"/>
    <w:rsid w:val="0042307F"/>
    <w:rsid w:val="004238B4"/>
    <w:rsid w:val="00423AC7"/>
    <w:rsid w:val="004244C6"/>
    <w:rsid w:val="00430E75"/>
    <w:rsid w:val="0043249A"/>
    <w:rsid w:val="00433F7E"/>
    <w:rsid w:val="00435ED6"/>
    <w:rsid w:val="00435FC0"/>
    <w:rsid w:val="00437276"/>
    <w:rsid w:val="004409A2"/>
    <w:rsid w:val="0044270B"/>
    <w:rsid w:val="00442E76"/>
    <w:rsid w:val="00443700"/>
    <w:rsid w:val="00445256"/>
    <w:rsid w:val="00446CDD"/>
    <w:rsid w:val="004470D6"/>
    <w:rsid w:val="00450CF0"/>
    <w:rsid w:val="00453646"/>
    <w:rsid w:val="00455764"/>
    <w:rsid w:val="00456B54"/>
    <w:rsid w:val="00462F22"/>
    <w:rsid w:val="00464643"/>
    <w:rsid w:val="0046514E"/>
    <w:rsid w:val="00465597"/>
    <w:rsid w:val="00467FE0"/>
    <w:rsid w:val="004704ED"/>
    <w:rsid w:val="00475D7F"/>
    <w:rsid w:val="00480149"/>
    <w:rsid w:val="00483A1E"/>
    <w:rsid w:val="0048633A"/>
    <w:rsid w:val="00486793"/>
    <w:rsid w:val="00486C66"/>
    <w:rsid w:val="00486FB5"/>
    <w:rsid w:val="004908B9"/>
    <w:rsid w:val="00492E00"/>
    <w:rsid w:val="00493F18"/>
    <w:rsid w:val="00494A3F"/>
    <w:rsid w:val="00497878"/>
    <w:rsid w:val="004A2037"/>
    <w:rsid w:val="004A5095"/>
    <w:rsid w:val="004A793C"/>
    <w:rsid w:val="004A7E06"/>
    <w:rsid w:val="004B047B"/>
    <w:rsid w:val="004B34E4"/>
    <w:rsid w:val="004B4CDC"/>
    <w:rsid w:val="004B65C0"/>
    <w:rsid w:val="004C790F"/>
    <w:rsid w:val="004D0F7E"/>
    <w:rsid w:val="004D121E"/>
    <w:rsid w:val="004D131E"/>
    <w:rsid w:val="004D1B1C"/>
    <w:rsid w:val="004D4A64"/>
    <w:rsid w:val="004D51B6"/>
    <w:rsid w:val="004D59A6"/>
    <w:rsid w:val="004E120D"/>
    <w:rsid w:val="004E2EE6"/>
    <w:rsid w:val="004E4C22"/>
    <w:rsid w:val="004E4F85"/>
    <w:rsid w:val="004E5AEB"/>
    <w:rsid w:val="004E7878"/>
    <w:rsid w:val="004F2827"/>
    <w:rsid w:val="004F4F98"/>
    <w:rsid w:val="004F69F6"/>
    <w:rsid w:val="004F79AC"/>
    <w:rsid w:val="004F7CF7"/>
    <w:rsid w:val="00506E9B"/>
    <w:rsid w:val="0051171A"/>
    <w:rsid w:val="00512A4A"/>
    <w:rsid w:val="00513BD7"/>
    <w:rsid w:val="005145D2"/>
    <w:rsid w:val="005160D8"/>
    <w:rsid w:val="005207D8"/>
    <w:rsid w:val="00522BB4"/>
    <w:rsid w:val="005236CC"/>
    <w:rsid w:val="00523930"/>
    <w:rsid w:val="005244F1"/>
    <w:rsid w:val="00530073"/>
    <w:rsid w:val="0053042C"/>
    <w:rsid w:val="00531137"/>
    <w:rsid w:val="005346A7"/>
    <w:rsid w:val="005359D2"/>
    <w:rsid w:val="00537CDC"/>
    <w:rsid w:val="0054091D"/>
    <w:rsid w:val="00544D98"/>
    <w:rsid w:val="00551D98"/>
    <w:rsid w:val="00560185"/>
    <w:rsid w:val="00562917"/>
    <w:rsid w:val="00564E98"/>
    <w:rsid w:val="00565185"/>
    <w:rsid w:val="00566C02"/>
    <w:rsid w:val="00567245"/>
    <w:rsid w:val="00571B8C"/>
    <w:rsid w:val="005729C7"/>
    <w:rsid w:val="00574DE9"/>
    <w:rsid w:val="00574FD8"/>
    <w:rsid w:val="005778B6"/>
    <w:rsid w:val="005802A5"/>
    <w:rsid w:val="005811B7"/>
    <w:rsid w:val="00581980"/>
    <w:rsid w:val="005822F8"/>
    <w:rsid w:val="00583737"/>
    <w:rsid w:val="00586228"/>
    <w:rsid w:val="0059359A"/>
    <w:rsid w:val="005946D3"/>
    <w:rsid w:val="00596830"/>
    <w:rsid w:val="00596AF6"/>
    <w:rsid w:val="00597AA8"/>
    <w:rsid w:val="005A0BF7"/>
    <w:rsid w:val="005A0DC6"/>
    <w:rsid w:val="005A16CE"/>
    <w:rsid w:val="005A4C64"/>
    <w:rsid w:val="005A4E49"/>
    <w:rsid w:val="005A572E"/>
    <w:rsid w:val="005B4051"/>
    <w:rsid w:val="005B436E"/>
    <w:rsid w:val="005B6AF4"/>
    <w:rsid w:val="005B7B00"/>
    <w:rsid w:val="005C04CB"/>
    <w:rsid w:val="005C0C96"/>
    <w:rsid w:val="005C3122"/>
    <w:rsid w:val="005C6FE5"/>
    <w:rsid w:val="005C71C3"/>
    <w:rsid w:val="005D1494"/>
    <w:rsid w:val="005D14DD"/>
    <w:rsid w:val="005D16AD"/>
    <w:rsid w:val="005D2016"/>
    <w:rsid w:val="005D2D8C"/>
    <w:rsid w:val="005D72E1"/>
    <w:rsid w:val="005D739D"/>
    <w:rsid w:val="005E3AF0"/>
    <w:rsid w:val="005E58D3"/>
    <w:rsid w:val="005E5A2A"/>
    <w:rsid w:val="005E6E16"/>
    <w:rsid w:val="005E6EAA"/>
    <w:rsid w:val="005F02AD"/>
    <w:rsid w:val="005F172C"/>
    <w:rsid w:val="005F2872"/>
    <w:rsid w:val="005F400E"/>
    <w:rsid w:val="005F52B5"/>
    <w:rsid w:val="005F7342"/>
    <w:rsid w:val="00603735"/>
    <w:rsid w:val="006056AC"/>
    <w:rsid w:val="00607774"/>
    <w:rsid w:val="00610027"/>
    <w:rsid w:val="00610A3C"/>
    <w:rsid w:val="00610FC4"/>
    <w:rsid w:val="00611343"/>
    <w:rsid w:val="006138D7"/>
    <w:rsid w:val="00614D8D"/>
    <w:rsid w:val="00614EF8"/>
    <w:rsid w:val="00615E83"/>
    <w:rsid w:val="00616DAD"/>
    <w:rsid w:val="006220BE"/>
    <w:rsid w:val="00622520"/>
    <w:rsid w:val="00623598"/>
    <w:rsid w:val="006238BF"/>
    <w:rsid w:val="00627F48"/>
    <w:rsid w:val="0063447B"/>
    <w:rsid w:val="0063455F"/>
    <w:rsid w:val="006357AC"/>
    <w:rsid w:val="00635814"/>
    <w:rsid w:val="00635ED5"/>
    <w:rsid w:val="00637B9C"/>
    <w:rsid w:val="00640BB5"/>
    <w:rsid w:val="00655770"/>
    <w:rsid w:val="00656253"/>
    <w:rsid w:val="0065635F"/>
    <w:rsid w:val="006565C8"/>
    <w:rsid w:val="006616A9"/>
    <w:rsid w:val="00663FCF"/>
    <w:rsid w:val="0066455C"/>
    <w:rsid w:val="006652A2"/>
    <w:rsid w:val="00670293"/>
    <w:rsid w:val="00672D1D"/>
    <w:rsid w:val="00680219"/>
    <w:rsid w:val="00680E99"/>
    <w:rsid w:val="00684613"/>
    <w:rsid w:val="00685FE4"/>
    <w:rsid w:val="00686134"/>
    <w:rsid w:val="0068670F"/>
    <w:rsid w:val="00692490"/>
    <w:rsid w:val="00694616"/>
    <w:rsid w:val="00694690"/>
    <w:rsid w:val="006969CC"/>
    <w:rsid w:val="00696A15"/>
    <w:rsid w:val="00696C24"/>
    <w:rsid w:val="006A48A7"/>
    <w:rsid w:val="006A50BF"/>
    <w:rsid w:val="006B1D54"/>
    <w:rsid w:val="006B6948"/>
    <w:rsid w:val="006B723C"/>
    <w:rsid w:val="006B7FAA"/>
    <w:rsid w:val="006C22A7"/>
    <w:rsid w:val="006C5CF5"/>
    <w:rsid w:val="006D07B3"/>
    <w:rsid w:val="006D2F66"/>
    <w:rsid w:val="006D33FF"/>
    <w:rsid w:val="006D4715"/>
    <w:rsid w:val="006E03EB"/>
    <w:rsid w:val="006E2164"/>
    <w:rsid w:val="006E2991"/>
    <w:rsid w:val="006F0C8A"/>
    <w:rsid w:val="006F4A82"/>
    <w:rsid w:val="006F5B87"/>
    <w:rsid w:val="00700D25"/>
    <w:rsid w:val="00704229"/>
    <w:rsid w:val="00706AFE"/>
    <w:rsid w:val="00710C37"/>
    <w:rsid w:val="00711617"/>
    <w:rsid w:val="0071499D"/>
    <w:rsid w:val="00715A6D"/>
    <w:rsid w:val="007211C3"/>
    <w:rsid w:val="007213DE"/>
    <w:rsid w:val="00724C0F"/>
    <w:rsid w:val="00724FA4"/>
    <w:rsid w:val="00725FE8"/>
    <w:rsid w:val="00727723"/>
    <w:rsid w:val="00730800"/>
    <w:rsid w:val="00734F88"/>
    <w:rsid w:val="007359AA"/>
    <w:rsid w:val="00740466"/>
    <w:rsid w:val="00753C98"/>
    <w:rsid w:val="00755B91"/>
    <w:rsid w:val="00755F02"/>
    <w:rsid w:val="007602AA"/>
    <w:rsid w:val="007652EF"/>
    <w:rsid w:val="00765DE1"/>
    <w:rsid w:val="007707B9"/>
    <w:rsid w:val="007729B0"/>
    <w:rsid w:val="00772BDC"/>
    <w:rsid w:val="0077305C"/>
    <w:rsid w:val="007765A1"/>
    <w:rsid w:val="00777437"/>
    <w:rsid w:val="007801C6"/>
    <w:rsid w:val="00780792"/>
    <w:rsid w:val="0078309E"/>
    <w:rsid w:val="007846F6"/>
    <w:rsid w:val="00787CB5"/>
    <w:rsid w:val="00787DC1"/>
    <w:rsid w:val="007903C0"/>
    <w:rsid w:val="00795D86"/>
    <w:rsid w:val="00796FF2"/>
    <w:rsid w:val="007A44B4"/>
    <w:rsid w:val="007A4FF0"/>
    <w:rsid w:val="007A7D3D"/>
    <w:rsid w:val="007B0809"/>
    <w:rsid w:val="007B225D"/>
    <w:rsid w:val="007B340C"/>
    <w:rsid w:val="007B4C1A"/>
    <w:rsid w:val="007B605E"/>
    <w:rsid w:val="007C1C64"/>
    <w:rsid w:val="007C21DC"/>
    <w:rsid w:val="007C22CB"/>
    <w:rsid w:val="007C316E"/>
    <w:rsid w:val="007C4252"/>
    <w:rsid w:val="007C6F0F"/>
    <w:rsid w:val="007C7C85"/>
    <w:rsid w:val="007D0189"/>
    <w:rsid w:val="007D6FFC"/>
    <w:rsid w:val="007E2526"/>
    <w:rsid w:val="007E425F"/>
    <w:rsid w:val="007E48BC"/>
    <w:rsid w:val="007E4FC7"/>
    <w:rsid w:val="007E79F7"/>
    <w:rsid w:val="007F13CF"/>
    <w:rsid w:val="007F15F3"/>
    <w:rsid w:val="007F2CCE"/>
    <w:rsid w:val="007F3630"/>
    <w:rsid w:val="007F3990"/>
    <w:rsid w:val="007F5794"/>
    <w:rsid w:val="007F7BF7"/>
    <w:rsid w:val="008038CC"/>
    <w:rsid w:val="0080635A"/>
    <w:rsid w:val="00807559"/>
    <w:rsid w:val="00810DA7"/>
    <w:rsid w:val="00811329"/>
    <w:rsid w:val="00811528"/>
    <w:rsid w:val="008121EA"/>
    <w:rsid w:val="00813464"/>
    <w:rsid w:val="008149A0"/>
    <w:rsid w:val="00815C2D"/>
    <w:rsid w:val="00816CDE"/>
    <w:rsid w:val="00820AAD"/>
    <w:rsid w:val="00822C92"/>
    <w:rsid w:val="0082356E"/>
    <w:rsid w:val="008239D8"/>
    <w:rsid w:val="00823AC6"/>
    <w:rsid w:val="0082491E"/>
    <w:rsid w:val="00824D98"/>
    <w:rsid w:val="00831154"/>
    <w:rsid w:val="00832AF5"/>
    <w:rsid w:val="008332B3"/>
    <w:rsid w:val="00834CAD"/>
    <w:rsid w:val="00841CAE"/>
    <w:rsid w:val="00842B62"/>
    <w:rsid w:val="00844237"/>
    <w:rsid w:val="008450BC"/>
    <w:rsid w:val="00847066"/>
    <w:rsid w:val="00847AFD"/>
    <w:rsid w:val="00850B09"/>
    <w:rsid w:val="0085272E"/>
    <w:rsid w:val="0085334B"/>
    <w:rsid w:val="008537BA"/>
    <w:rsid w:val="00855091"/>
    <w:rsid w:val="008562B2"/>
    <w:rsid w:val="008564C2"/>
    <w:rsid w:val="00860808"/>
    <w:rsid w:val="00861C13"/>
    <w:rsid w:val="008634AB"/>
    <w:rsid w:val="00863DAD"/>
    <w:rsid w:val="00865119"/>
    <w:rsid w:val="00865EBE"/>
    <w:rsid w:val="00867603"/>
    <w:rsid w:val="00870214"/>
    <w:rsid w:val="00871116"/>
    <w:rsid w:val="00872D32"/>
    <w:rsid w:val="0088000C"/>
    <w:rsid w:val="00882C79"/>
    <w:rsid w:val="00885C51"/>
    <w:rsid w:val="00893FA2"/>
    <w:rsid w:val="00896B85"/>
    <w:rsid w:val="008A243D"/>
    <w:rsid w:val="008A472D"/>
    <w:rsid w:val="008A65A0"/>
    <w:rsid w:val="008A7070"/>
    <w:rsid w:val="008B1331"/>
    <w:rsid w:val="008B3900"/>
    <w:rsid w:val="008B5FDA"/>
    <w:rsid w:val="008B723C"/>
    <w:rsid w:val="008C4575"/>
    <w:rsid w:val="008D06C6"/>
    <w:rsid w:val="008D396B"/>
    <w:rsid w:val="008D7230"/>
    <w:rsid w:val="008E2279"/>
    <w:rsid w:val="008E3275"/>
    <w:rsid w:val="008E6250"/>
    <w:rsid w:val="008F087F"/>
    <w:rsid w:val="008F0B7A"/>
    <w:rsid w:val="008F6959"/>
    <w:rsid w:val="0090300C"/>
    <w:rsid w:val="00906270"/>
    <w:rsid w:val="00906AEE"/>
    <w:rsid w:val="009121D2"/>
    <w:rsid w:val="00917940"/>
    <w:rsid w:val="00920249"/>
    <w:rsid w:val="00921090"/>
    <w:rsid w:val="00926199"/>
    <w:rsid w:val="00930585"/>
    <w:rsid w:val="00932F14"/>
    <w:rsid w:val="009409AC"/>
    <w:rsid w:val="009413AA"/>
    <w:rsid w:val="0094247F"/>
    <w:rsid w:val="00942D60"/>
    <w:rsid w:val="00942F40"/>
    <w:rsid w:val="00944943"/>
    <w:rsid w:val="009460FA"/>
    <w:rsid w:val="009469DC"/>
    <w:rsid w:val="00947534"/>
    <w:rsid w:val="009478A1"/>
    <w:rsid w:val="0095165A"/>
    <w:rsid w:val="00951879"/>
    <w:rsid w:val="00952800"/>
    <w:rsid w:val="00954F48"/>
    <w:rsid w:val="00960DCF"/>
    <w:rsid w:val="009634B3"/>
    <w:rsid w:val="00963860"/>
    <w:rsid w:val="00964A40"/>
    <w:rsid w:val="0096523B"/>
    <w:rsid w:val="00965615"/>
    <w:rsid w:val="00965C0C"/>
    <w:rsid w:val="009715DF"/>
    <w:rsid w:val="00972D06"/>
    <w:rsid w:val="00973A02"/>
    <w:rsid w:val="00973FD7"/>
    <w:rsid w:val="009878CB"/>
    <w:rsid w:val="0098792C"/>
    <w:rsid w:val="00991468"/>
    <w:rsid w:val="0099323D"/>
    <w:rsid w:val="00995348"/>
    <w:rsid w:val="00997B99"/>
    <w:rsid w:val="009A091C"/>
    <w:rsid w:val="009A2699"/>
    <w:rsid w:val="009A381D"/>
    <w:rsid w:val="009A391C"/>
    <w:rsid w:val="009A4ED7"/>
    <w:rsid w:val="009A5993"/>
    <w:rsid w:val="009B30A0"/>
    <w:rsid w:val="009B4970"/>
    <w:rsid w:val="009B669A"/>
    <w:rsid w:val="009C3E64"/>
    <w:rsid w:val="009D0913"/>
    <w:rsid w:val="009D39DD"/>
    <w:rsid w:val="009D455F"/>
    <w:rsid w:val="009D4EFB"/>
    <w:rsid w:val="009E0A61"/>
    <w:rsid w:val="009E2E25"/>
    <w:rsid w:val="009E3010"/>
    <w:rsid w:val="009E46F5"/>
    <w:rsid w:val="009E749B"/>
    <w:rsid w:val="009F47C2"/>
    <w:rsid w:val="009F68A5"/>
    <w:rsid w:val="009F7065"/>
    <w:rsid w:val="00A00238"/>
    <w:rsid w:val="00A00D5A"/>
    <w:rsid w:val="00A0420B"/>
    <w:rsid w:val="00A04BC4"/>
    <w:rsid w:val="00A072F9"/>
    <w:rsid w:val="00A0741F"/>
    <w:rsid w:val="00A13FB6"/>
    <w:rsid w:val="00A16DDB"/>
    <w:rsid w:val="00A21F4C"/>
    <w:rsid w:val="00A2449C"/>
    <w:rsid w:val="00A318EB"/>
    <w:rsid w:val="00A36294"/>
    <w:rsid w:val="00A37715"/>
    <w:rsid w:val="00A41A67"/>
    <w:rsid w:val="00A41E58"/>
    <w:rsid w:val="00A44331"/>
    <w:rsid w:val="00A478B7"/>
    <w:rsid w:val="00A551B9"/>
    <w:rsid w:val="00A56BE0"/>
    <w:rsid w:val="00A56DC7"/>
    <w:rsid w:val="00A57EA3"/>
    <w:rsid w:val="00A60054"/>
    <w:rsid w:val="00A61C76"/>
    <w:rsid w:val="00A6319B"/>
    <w:rsid w:val="00A6455C"/>
    <w:rsid w:val="00A64A49"/>
    <w:rsid w:val="00A65891"/>
    <w:rsid w:val="00A65C6E"/>
    <w:rsid w:val="00A66FDD"/>
    <w:rsid w:val="00A671E6"/>
    <w:rsid w:val="00A709E5"/>
    <w:rsid w:val="00A73911"/>
    <w:rsid w:val="00A73D97"/>
    <w:rsid w:val="00A73FD0"/>
    <w:rsid w:val="00A74FD1"/>
    <w:rsid w:val="00A77865"/>
    <w:rsid w:val="00A81381"/>
    <w:rsid w:val="00A81719"/>
    <w:rsid w:val="00A81AFC"/>
    <w:rsid w:val="00A83762"/>
    <w:rsid w:val="00A83D74"/>
    <w:rsid w:val="00A84A58"/>
    <w:rsid w:val="00A86775"/>
    <w:rsid w:val="00A873DE"/>
    <w:rsid w:val="00A929A9"/>
    <w:rsid w:val="00A96594"/>
    <w:rsid w:val="00A97285"/>
    <w:rsid w:val="00A97B0F"/>
    <w:rsid w:val="00AA03B8"/>
    <w:rsid w:val="00AA1167"/>
    <w:rsid w:val="00AA1662"/>
    <w:rsid w:val="00AA3A14"/>
    <w:rsid w:val="00AA41BA"/>
    <w:rsid w:val="00AA41CA"/>
    <w:rsid w:val="00AA5BB8"/>
    <w:rsid w:val="00AA6D0D"/>
    <w:rsid w:val="00AA6FA3"/>
    <w:rsid w:val="00AB01DB"/>
    <w:rsid w:val="00AB55B1"/>
    <w:rsid w:val="00AB63E3"/>
    <w:rsid w:val="00AB6488"/>
    <w:rsid w:val="00AC1346"/>
    <w:rsid w:val="00AC428E"/>
    <w:rsid w:val="00AC5A2A"/>
    <w:rsid w:val="00AC651A"/>
    <w:rsid w:val="00AC6658"/>
    <w:rsid w:val="00AD344F"/>
    <w:rsid w:val="00AD40D0"/>
    <w:rsid w:val="00AD4EA0"/>
    <w:rsid w:val="00AD7F15"/>
    <w:rsid w:val="00AE0426"/>
    <w:rsid w:val="00AE23E4"/>
    <w:rsid w:val="00AE4A37"/>
    <w:rsid w:val="00AE4FFD"/>
    <w:rsid w:val="00AF24FA"/>
    <w:rsid w:val="00AF387F"/>
    <w:rsid w:val="00AF397D"/>
    <w:rsid w:val="00AF422F"/>
    <w:rsid w:val="00AF4518"/>
    <w:rsid w:val="00B00E7F"/>
    <w:rsid w:val="00B0106A"/>
    <w:rsid w:val="00B0402C"/>
    <w:rsid w:val="00B04573"/>
    <w:rsid w:val="00B11781"/>
    <w:rsid w:val="00B1346F"/>
    <w:rsid w:val="00B14B95"/>
    <w:rsid w:val="00B15C34"/>
    <w:rsid w:val="00B1675D"/>
    <w:rsid w:val="00B16D68"/>
    <w:rsid w:val="00B17112"/>
    <w:rsid w:val="00B206AF"/>
    <w:rsid w:val="00B21055"/>
    <w:rsid w:val="00B21DCC"/>
    <w:rsid w:val="00B25E63"/>
    <w:rsid w:val="00B25F37"/>
    <w:rsid w:val="00B3056E"/>
    <w:rsid w:val="00B30DB5"/>
    <w:rsid w:val="00B329E8"/>
    <w:rsid w:val="00B34310"/>
    <w:rsid w:val="00B36BEB"/>
    <w:rsid w:val="00B41C69"/>
    <w:rsid w:val="00B425AA"/>
    <w:rsid w:val="00B42A81"/>
    <w:rsid w:val="00B436F6"/>
    <w:rsid w:val="00B44422"/>
    <w:rsid w:val="00B46426"/>
    <w:rsid w:val="00B46EA0"/>
    <w:rsid w:val="00B51376"/>
    <w:rsid w:val="00B51BBF"/>
    <w:rsid w:val="00B53598"/>
    <w:rsid w:val="00B55714"/>
    <w:rsid w:val="00B570E1"/>
    <w:rsid w:val="00B602F9"/>
    <w:rsid w:val="00B62255"/>
    <w:rsid w:val="00B62923"/>
    <w:rsid w:val="00B72F82"/>
    <w:rsid w:val="00B731D3"/>
    <w:rsid w:val="00B7348A"/>
    <w:rsid w:val="00B7509A"/>
    <w:rsid w:val="00B75B57"/>
    <w:rsid w:val="00B77296"/>
    <w:rsid w:val="00B811B3"/>
    <w:rsid w:val="00B838F4"/>
    <w:rsid w:val="00B839A3"/>
    <w:rsid w:val="00B85065"/>
    <w:rsid w:val="00B86179"/>
    <w:rsid w:val="00B862A2"/>
    <w:rsid w:val="00B902BD"/>
    <w:rsid w:val="00BA1009"/>
    <w:rsid w:val="00BA2141"/>
    <w:rsid w:val="00BA39D4"/>
    <w:rsid w:val="00BA6D95"/>
    <w:rsid w:val="00BA709B"/>
    <w:rsid w:val="00BB193D"/>
    <w:rsid w:val="00BB33E2"/>
    <w:rsid w:val="00BB34C4"/>
    <w:rsid w:val="00BB4BB6"/>
    <w:rsid w:val="00BB57B4"/>
    <w:rsid w:val="00BB73E1"/>
    <w:rsid w:val="00BC7B09"/>
    <w:rsid w:val="00BD0277"/>
    <w:rsid w:val="00BD04A3"/>
    <w:rsid w:val="00BD2A39"/>
    <w:rsid w:val="00BD2E80"/>
    <w:rsid w:val="00BD49FF"/>
    <w:rsid w:val="00BD4B64"/>
    <w:rsid w:val="00BD77E1"/>
    <w:rsid w:val="00BE00B4"/>
    <w:rsid w:val="00BE0656"/>
    <w:rsid w:val="00BE06C4"/>
    <w:rsid w:val="00BE117A"/>
    <w:rsid w:val="00BE11B8"/>
    <w:rsid w:val="00BE251A"/>
    <w:rsid w:val="00BE3A06"/>
    <w:rsid w:val="00BE7A68"/>
    <w:rsid w:val="00BF7FF0"/>
    <w:rsid w:val="00C04ED1"/>
    <w:rsid w:val="00C11AEA"/>
    <w:rsid w:val="00C12502"/>
    <w:rsid w:val="00C1319C"/>
    <w:rsid w:val="00C1779F"/>
    <w:rsid w:val="00C22DDF"/>
    <w:rsid w:val="00C23AD0"/>
    <w:rsid w:val="00C26B3B"/>
    <w:rsid w:val="00C306B7"/>
    <w:rsid w:val="00C3135B"/>
    <w:rsid w:val="00C34DA1"/>
    <w:rsid w:val="00C4057F"/>
    <w:rsid w:val="00C40AA5"/>
    <w:rsid w:val="00C4151B"/>
    <w:rsid w:val="00C46F70"/>
    <w:rsid w:val="00C476D0"/>
    <w:rsid w:val="00C50DB6"/>
    <w:rsid w:val="00C5289F"/>
    <w:rsid w:val="00C533BD"/>
    <w:rsid w:val="00C576BA"/>
    <w:rsid w:val="00C61227"/>
    <w:rsid w:val="00C6434A"/>
    <w:rsid w:val="00C65699"/>
    <w:rsid w:val="00C66439"/>
    <w:rsid w:val="00C74398"/>
    <w:rsid w:val="00C82887"/>
    <w:rsid w:val="00C830B9"/>
    <w:rsid w:val="00C836E3"/>
    <w:rsid w:val="00C836FF"/>
    <w:rsid w:val="00C837D6"/>
    <w:rsid w:val="00C854DC"/>
    <w:rsid w:val="00C864E5"/>
    <w:rsid w:val="00C86577"/>
    <w:rsid w:val="00C91434"/>
    <w:rsid w:val="00C91C02"/>
    <w:rsid w:val="00C926D7"/>
    <w:rsid w:val="00C92AE0"/>
    <w:rsid w:val="00C92E07"/>
    <w:rsid w:val="00C92EB7"/>
    <w:rsid w:val="00C96868"/>
    <w:rsid w:val="00C97BF5"/>
    <w:rsid w:val="00CA0416"/>
    <w:rsid w:val="00CA5734"/>
    <w:rsid w:val="00CA71D1"/>
    <w:rsid w:val="00CB115C"/>
    <w:rsid w:val="00CC06C1"/>
    <w:rsid w:val="00CC3764"/>
    <w:rsid w:val="00CC3A35"/>
    <w:rsid w:val="00CC5468"/>
    <w:rsid w:val="00CC560B"/>
    <w:rsid w:val="00CC57F1"/>
    <w:rsid w:val="00CC6FCC"/>
    <w:rsid w:val="00CC75E2"/>
    <w:rsid w:val="00CC7637"/>
    <w:rsid w:val="00CD3CE3"/>
    <w:rsid w:val="00CD4082"/>
    <w:rsid w:val="00CD46EB"/>
    <w:rsid w:val="00CD4BBE"/>
    <w:rsid w:val="00CD7EBF"/>
    <w:rsid w:val="00CE0880"/>
    <w:rsid w:val="00CE14AE"/>
    <w:rsid w:val="00CE30A6"/>
    <w:rsid w:val="00CE7AC8"/>
    <w:rsid w:val="00CF11BD"/>
    <w:rsid w:val="00CF1975"/>
    <w:rsid w:val="00CF3328"/>
    <w:rsid w:val="00D00DFA"/>
    <w:rsid w:val="00D03C2F"/>
    <w:rsid w:val="00D03F6D"/>
    <w:rsid w:val="00D0498D"/>
    <w:rsid w:val="00D04C8D"/>
    <w:rsid w:val="00D056F1"/>
    <w:rsid w:val="00D06616"/>
    <w:rsid w:val="00D10017"/>
    <w:rsid w:val="00D1417D"/>
    <w:rsid w:val="00D144D7"/>
    <w:rsid w:val="00D14F7D"/>
    <w:rsid w:val="00D15A08"/>
    <w:rsid w:val="00D21720"/>
    <w:rsid w:val="00D23DB6"/>
    <w:rsid w:val="00D25D3D"/>
    <w:rsid w:val="00D30E90"/>
    <w:rsid w:val="00D30EC0"/>
    <w:rsid w:val="00D31764"/>
    <w:rsid w:val="00D37D16"/>
    <w:rsid w:val="00D40A5F"/>
    <w:rsid w:val="00D40FDB"/>
    <w:rsid w:val="00D44FC6"/>
    <w:rsid w:val="00D46754"/>
    <w:rsid w:val="00D46F12"/>
    <w:rsid w:val="00D504D4"/>
    <w:rsid w:val="00D51A95"/>
    <w:rsid w:val="00D53092"/>
    <w:rsid w:val="00D53995"/>
    <w:rsid w:val="00D54A02"/>
    <w:rsid w:val="00D56444"/>
    <w:rsid w:val="00D602CE"/>
    <w:rsid w:val="00D60568"/>
    <w:rsid w:val="00D615C5"/>
    <w:rsid w:val="00D61CD6"/>
    <w:rsid w:val="00D63AB8"/>
    <w:rsid w:val="00D66D81"/>
    <w:rsid w:val="00D70C7A"/>
    <w:rsid w:val="00D72A29"/>
    <w:rsid w:val="00D73888"/>
    <w:rsid w:val="00D73F4F"/>
    <w:rsid w:val="00D75286"/>
    <w:rsid w:val="00D76AED"/>
    <w:rsid w:val="00D80307"/>
    <w:rsid w:val="00D80A63"/>
    <w:rsid w:val="00D81D4D"/>
    <w:rsid w:val="00D834E5"/>
    <w:rsid w:val="00D8357D"/>
    <w:rsid w:val="00D863C9"/>
    <w:rsid w:val="00D867DA"/>
    <w:rsid w:val="00D867FF"/>
    <w:rsid w:val="00DA10A8"/>
    <w:rsid w:val="00DA2987"/>
    <w:rsid w:val="00DA37D5"/>
    <w:rsid w:val="00DB08BE"/>
    <w:rsid w:val="00DB0A6E"/>
    <w:rsid w:val="00DB108F"/>
    <w:rsid w:val="00DB123A"/>
    <w:rsid w:val="00DB1E08"/>
    <w:rsid w:val="00DB2973"/>
    <w:rsid w:val="00DB62F6"/>
    <w:rsid w:val="00DB7A8A"/>
    <w:rsid w:val="00DC03E1"/>
    <w:rsid w:val="00DC0FBA"/>
    <w:rsid w:val="00DC1B56"/>
    <w:rsid w:val="00DC20CC"/>
    <w:rsid w:val="00DC2129"/>
    <w:rsid w:val="00DC55A3"/>
    <w:rsid w:val="00DC6570"/>
    <w:rsid w:val="00DC69A2"/>
    <w:rsid w:val="00DD057E"/>
    <w:rsid w:val="00DD265C"/>
    <w:rsid w:val="00DD3703"/>
    <w:rsid w:val="00DD7A7C"/>
    <w:rsid w:val="00DE435F"/>
    <w:rsid w:val="00DE5528"/>
    <w:rsid w:val="00DE5F52"/>
    <w:rsid w:val="00DE650C"/>
    <w:rsid w:val="00DE67F4"/>
    <w:rsid w:val="00DE78F4"/>
    <w:rsid w:val="00DF25C3"/>
    <w:rsid w:val="00DF2F37"/>
    <w:rsid w:val="00DF595E"/>
    <w:rsid w:val="00DF6305"/>
    <w:rsid w:val="00E01292"/>
    <w:rsid w:val="00E04062"/>
    <w:rsid w:val="00E063C6"/>
    <w:rsid w:val="00E12F99"/>
    <w:rsid w:val="00E146D0"/>
    <w:rsid w:val="00E15B3C"/>
    <w:rsid w:val="00E2003B"/>
    <w:rsid w:val="00E22942"/>
    <w:rsid w:val="00E26887"/>
    <w:rsid w:val="00E279D8"/>
    <w:rsid w:val="00E30092"/>
    <w:rsid w:val="00E3181F"/>
    <w:rsid w:val="00E319B1"/>
    <w:rsid w:val="00E31B7D"/>
    <w:rsid w:val="00E327A6"/>
    <w:rsid w:val="00E339F6"/>
    <w:rsid w:val="00E342E4"/>
    <w:rsid w:val="00E37D68"/>
    <w:rsid w:val="00E37F05"/>
    <w:rsid w:val="00E40E2F"/>
    <w:rsid w:val="00E42244"/>
    <w:rsid w:val="00E42A0F"/>
    <w:rsid w:val="00E42AD5"/>
    <w:rsid w:val="00E454C0"/>
    <w:rsid w:val="00E45909"/>
    <w:rsid w:val="00E53628"/>
    <w:rsid w:val="00E53A52"/>
    <w:rsid w:val="00E5492F"/>
    <w:rsid w:val="00E55A00"/>
    <w:rsid w:val="00E5663C"/>
    <w:rsid w:val="00E572B1"/>
    <w:rsid w:val="00E60E74"/>
    <w:rsid w:val="00E61AB2"/>
    <w:rsid w:val="00E64713"/>
    <w:rsid w:val="00E677EF"/>
    <w:rsid w:val="00E70A86"/>
    <w:rsid w:val="00E72036"/>
    <w:rsid w:val="00E73E50"/>
    <w:rsid w:val="00E777EC"/>
    <w:rsid w:val="00E80BCC"/>
    <w:rsid w:val="00E80FCD"/>
    <w:rsid w:val="00E831C3"/>
    <w:rsid w:val="00E83E79"/>
    <w:rsid w:val="00E91E5B"/>
    <w:rsid w:val="00E95FF8"/>
    <w:rsid w:val="00E97124"/>
    <w:rsid w:val="00EA04F0"/>
    <w:rsid w:val="00EA7F2F"/>
    <w:rsid w:val="00EB4A46"/>
    <w:rsid w:val="00EB4C49"/>
    <w:rsid w:val="00EB4FA5"/>
    <w:rsid w:val="00EB5879"/>
    <w:rsid w:val="00EB6590"/>
    <w:rsid w:val="00EC00DE"/>
    <w:rsid w:val="00EC065B"/>
    <w:rsid w:val="00EC1A4F"/>
    <w:rsid w:val="00EC21DF"/>
    <w:rsid w:val="00EC30E1"/>
    <w:rsid w:val="00EC31C6"/>
    <w:rsid w:val="00EC3436"/>
    <w:rsid w:val="00EC440A"/>
    <w:rsid w:val="00EC66BB"/>
    <w:rsid w:val="00EC6D7C"/>
    <w:rsid w:val="00ED03D8"/>
    <w:rsid w:val="00ED0EAE"/>
    <w:rsid w:val="00ED172A"/>
    <w:rsid w:val="00ED6974"/>
    <w:rsid w:val="00ED6BB6"/>
    <w:rsid w:val="00EE01DC"/>
    <w:rsid w:val="00EE4160"/>
    <w:rsid w:val="00EF20D4"/>
    <w:rsid w:val="00EF2EBD"/>
    <w:rsid w:val="00EF7528"/>
    <w:rsid w:val="00F14AB3"/>
    <w:rsid w:val="00F14BEC"/>
    <w:rsid w:val="00F17A38"/>
    <w:rsid w:val="00F209F7"/>
    <w:rsid w:val="00F224B7"/>
    <w:rsid w:val="00F225C5"/>
    <w:rsid w:val="00F24E95"/>
    <w:rsid w:val="00F2587A"/>
    <w:rsid w:val="00F25BA7"/>
    <w:rsid w:val="00F31E84"/>
    <w:rsid w:val="00F32893"/>
    <w:rsid w:val="00F33470"/>
    <w:rsid w:val="00F343F3"/>
    <w:rsid w:val="00F34E02"/>
    <w:rsid w:val="00F3715D"/>
    <w:rsid w:val="00F37A10"/>
    <w:rsid w:val="00F41D0B"/>
    <w:rsid w:val="00F420C8"/>
    <w:rsid w:val="00F42A4C"/>
    <w:rsid w:val="00F526BD"/>
    <w:rsid w:val="00F6014D"/>
    <w:rsid w:val="00F634A1"/>
    <w:rsid w:val="00F63842"/>
    <w:rsid w:val="00F64B08"/>
    <w:rsid w:val="00F67834"/>
    <w:rsid w:val="00F75F53"/>
    <w:rsid w:val="00F80736"/>
    <w:rsid w:val="00F833D2"/>
    <w:rsid w:val="00F9007F"/>
    <w:rsid w:val="00F91203"/>
    <w:rsid w:val="00F9147A"/>
    <w:rsid w:val="00F918C1"/>
    <w:rsid w:val="00F97CA5"/>
    <w:rsid w:val="00FA146C"/>
    <w:rsid w:val="00FA23F9"/>
    <w:rsid w:val="00FB0EF0"/>
    <w:rsid w:val="00FB12D5"/>
    <w:rsid w:val="00FB1C68"/>
    <w:rsid w:val="00FB2DA0"/>
    <w:rsid w:val="00FB512A"/>
    <w:rsid w:val="00FB7512"/>
    <w:rsid w:val="00FC1A24"/>
    <w:rsid w:val="00FC2832"/>
    <w:rsid w:val="00FC5376"/>
    <w:rsid w:val="00FD56D3"/>
    <w:rsid w:val="00FD58F8"/>
    <w:rsid w:val="00FD7547"/>
    <w:rsid w:val="00FE1321"/>
    <w:rsid w:val="00FE1C5C"/>
    <w:rsid w:val="00FE287B"/>
    <w:rsid w:val="00FE35F0"/>
    <w:rsid w:val="00FE50B6"/>
    <w:rsid w:val="00FE5DEC"/>
    <w:rsid w:val="00FE6B50"/>
    <w:rsid w:val="00FE6E88"/>
    <w:rsid w:val="00FF1DD1"/>
    <w:rsid w:val="00FF3655"/>
    <w:rsid w:val="00FF5F5C"/>
    <w:rsid w:val="00FF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3A2C64"/>
    <w:pPr>
      <w:keepNext/>
      <w:spacing w:before="240" w:after="240"/>
      <w:ind w:left="851" w:hanging="851"/>
      <w:outlineLvl w:val="0"/>
    </w:pPr>
    <w:rPr>
      <w:b/>
      <w:bCs/>
      <w:color w:val="17365D" w:themeColor="text2" w:themeShade="BF"/>
      <w:sz w:val="36"/>
      <w:szCs w:val="28"/>
      <w:lang w:bidi="ar-SA"/>
    </w:rPr>
  </w:style>
  <w:style w:type="paragraph" w:styleId="Heading2">
    <w:name w:val="heading 2"/>
    <w:aliases w:val="FSHeading 2,Section heading"/>
    <w:basedOn w:val="Normal"/>
    <w:next w:val="Normal"/>
    <w:link w:val="Heading2Char"/>
    <w:uiPriority w:val="9"/>
    <w:unhideWhenUsed/>
    <w:qFormat/>
    <w:rsid w:val="003A2C64"/>
    <w:pPr>
      <w:keepNext/>
      <w:spacing w:before="240" w:after="240"/>
      <w:ind w:left="851" w:hanging="851"/>
      <w:outlineLvl w:val="1"/>
    </w:pPr>
    <w:rPr>
      <w:rFonts w:cs="Arial"/>
      <w:b/>
      <w:bCs/>
      <w:color w:val="17365D" w:themeColor="text2" w:themeShade="BF"/>
      <w:sz w:val="28"/>
      <w:szCs w:val="22"/>
      <w:lang w:bidi="ar-SA"/>
    </w:rPr>
  </w:style>
  <w:style w:type="paragraph" w:styleId="Heading3">
    <w:name w:val="heading 3"/>
    <w:aliases w:val="FSHeading 3,Subheading 1"/>
    <w:basedOn w:val="Normal"/>
    <w:next w:val="Normal"/>
    <w:link w:val="Heading3Char"/>
    <w:uiPriority w:val="9"/>
    <w:unhideWhenUsed/>
    <w:qFormat/>
    <w:rsid w:val="003A2C64"/>
    <w:pPr>
      <w:keepNext/>
      <w:spacing w:before="240" w:after="240"/>
      <w:ind w:left="851" w:hanging="851"/>
      <w:outlineLvl w:val="2"/>
    </w:pPr>
    <w:rPr>
      <w:b/>
      <w:bCs/>
      <w:color w:val="17365D" w:themeColor="text2" w:themeShade="BF"/>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A2C64"/>
    <w:rPr>
      <w:rFonts w:ascii="Arial" w:hAnsi="Arial"/>
      <w:b/>
      <w:bCs/>
      <w:color w:val="17365D" w:themeColor="text2" w:themeShade="BF"/>
      <w:sz w:val="36"/>
      <w:szCs w:val="28"/>
      <w:lang w:eastAsia="en-US"/>
    </w:rPr>
  </w:style>
  <w:style w:type="character" w:customStyle="1" w:styleId="Heading2Char">
    <w:name w:val="Heading 2 Char"/>
    <w:aliases w:val="FSHeading 2 Char,Section heading Char"/>
    <w:link w:val="Heading2"/>
    <w:uiPriority w:val="9"/>
    <w:rsid w:val="003A2C64"/>
    <w:rPr>
      <w:rFonts w:ascii="Arial" w:hAnsi="Arial" w:cs="Arial"/>
      <w:b/>
      <w:bCs/>
      <w:color w:val="17365D" w:themeColor="text2" w:themeShade="BF"/>
      <w:sz w:val="28"/>
      <w:szCs w:val="22"/>
      <w:lang w:eastAsia="en-US"/>
    </w:rPr>
  </w:style>
  <w:style w:type="character" w:customStyle="1" w:styleId="Heading3Char">
    <w:name w:val="Heading 3 Char"/>
    <w:aliases w:val="FSHeading 3 Char,Subheading 1 Char"/>
    <w:link w:val="Heading3"/>
    <w:uiPriority w:val="9"/>
    <w:rsid w:val="003A2C64"/>
    <w:rPr>
      <w:rFonts w:ascii="Arial" w:hAnsi="Arial"/>
      <w:b/>
      <w:bCs/>
      <w:color w:val="17365D" w:themeColor="text2" w:themeShade="BF"/>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52781"/>
    <w:pPr>
      <w:tabs>
        <w:tab w:val="left" w:pos="567"/>
        <w:tab w:val="right" w:leader="dot" w:pos="9060"/>
      </w:tabs>
      <w:spacing w:before="120" w:after="120"/>
    </w:pPr>
    <w:rPr>
      <w:rFonts w:cs="Arial"/>
      <w:b/>
      <w:bCs/>
      <w:caps/>
      <w:noProof/>
      <w:szCs w:val="22"/>
    </w:rPr>
  </w:style>
  <w:style w:type="paragraph" w:styleId="TOC2">
    <w:name w:val="toc 2"/>
    <w:basedOn w:val="Normal"/>
    <w:next w:val="Normal"/>
    <w:autoRedefine/>
    <w:uiPriority w:val="39"/>
    <w:rsid w:val="00D46F12"/>
    <w:pPr>
      <w:tabs>
        <w:tab w:val="left" w:pos="1134"/>
        <w:tab w:val="right" w:leader="dot" w:pos="9072"/>
      </w:tabs>
      <w:ind w:left="1134" w:right="804" w:hanging="567"/>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FC5376"/>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styleId="Emphasis">
    <w:name w:val="Emphasis"/>
    <w:basedOn w:val="DefaultParagraphFont"/>
    <w:uiPriority w:val="20"/>
    <w:qFormat/>
    <w:rsid w:val="004B65C0"/>
    <w:rPr>
      <w:i/>
      <w:iCs/>
    </w:rPr>
  </w:style>
  <w:style w:type="character" w:customStyle="1" w:styleId="ms-rtefontsize-21">
    <w:name w:val="ms-rtefontsize-21"/>
    <w:basedOn w:val="DefaultParagraphFont"/>
    <w:rsid w:val="004B65C0"/>
    <w:rPr>
      <w:sz w:val="20"/>
      <w:szCs w:val="20"/>
    </w:rPr>
  </w:style>
  <w:style w:type="paragraph" w:styleId="ListParagraph">
    <w:name w:val="List Paragraph"/>
    <w:basedOn w:val="Normal"/>
    <w:uiPriority w:val="34"/>
    <w:qFormat/>
    <w:rsid w:val="004B65C0"/>
    <w:pPr>
      <w:widowControl/>
      <w:ind w:left="720"/>
      <w:contextualSpacing/>
    </w:pPr>
    <w:rPr>
      <w:color w:val="000000"/>
      <w:lang w:val="en-AU" w:eastAsia="en-AU" w:bidi="ar-SA"/>
    </w:rPr>
  </w:style>
  <w:style w:type="character" w:customStyle="1" w:styleId="FootnoteTextChar">
    <w:name w:val="Footnote Text Char"/>
    <w:aliases w:val="Footnotes Text Char,FSFootnotes Text Char"/>
    <w:basedOn w:val="DefaultParagraphFont"/>
    <w:link w:val="FootnoteText"/>
    <w:uiPriority w:val="5"/>
    <w:rsid w:val="0085272E"/>
    <w:rPr>
      <w:rFonts w:ascii="Arial" w:hAnsi="Arial"/>
      <w:lang w:eastAsia="en-US" w:bidi="en-US"/>
    </w:rPr>
  </w:style>
  <w:style w:type="character" w:customStyle="1" w:styleId="HeaderChar">
    <w:name w:val="Header Char"/>
    <w:basedOn w:val="DefaultParagraphFont"/>
    <w:link w:val="Header"/>
    <w:uiPriority w:val="99"/>
    <w:rsid w:val="00042A65"/>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lsdException w:name="footer" w:uiPriority="99"/>
    <w:lsdException w:name="caption" w:semiHidden="1" w:unhideWhenUsed="1"/>
    <w:lsdException w:name="footnote reference" w:uiPriority="99"/>
    <w:lsdException w:name="annotation reference" w:uiPriority="99"/>
    <w:lsdException w:name="Title" w:uiPriority="10"/>
    <w:lsdException w:name="Subtitle" w:uiPriority="11"/>
    <w:lsdException w:name="Hyperlink" w:uiPriority="99"/>
    <w:lsdException w:name="Strong" w:uiPriority="22"/>
    <w:lsdException w:name="Emphasis" w:uiPriority="20"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3A2C64"/>
    <w:pPr>
      <w:keepNext/>
      <w:spacing w:before="240" w:after="240"/>
      <w:ind w:left="851" w:hanging="851"/>
      <w:outlineLvl w:val="0"/>
    </w:pPr>
    <w:rPr>
      <w:b/>
      <w:bCs/>
      <w:color w:val="17365D" w:themeColor="text2" w:themeShade="BF"/>
      <w:sz w:val="36"/>
      <w:szCs w:val="28"/>
      <w:lang w:bidi="ar-SA"/>
    </w:rPr>
  </w:style>
  <w:style w:type="paragraph" w:styleId="Heading2">
    <w:name w:val="heading 2"/>
    <w:aliases w:val="FSHeading 2,Section heading"/>
    <w:basedOn w:val="Normal"/>
    <w:next w:val="Normal"/>
    <w:link w:val="Heading2Char"/>
    <w:uiPriority w:val="9"/>
    <w:unhideWhenUsed/>
    <w:qFormat/>
    <w:rsid w:val="003A2C64"/>
    <w:pPr>
      <w:keepNext/>
      <w:spacing w:before="240" w:after="240"/>
      <w:ind w:left="851" w:hanging="851"/>
      <w:outlineLvl w:val="1"/>
    </w:pPr>
    <w:rPr>
      <w:rFonts w:cs="Arial"/>
      <w:b/>
      <w:bCs/>
      <w:color w:val="17365D" w:themeColor="text2" w:themeShade="BF"/>
      <w:sz w:val="28"/>
      <w:szCs w:val="22"/>
      <w:lang w:bidi="ar-SA"/>
    </w:rPr>
  </w:style>
  <w:style w:type="paragraph" w:styleId="Heading3">
    <w:name w:val="heading 3"/>
    <w:aliases w:val="FSHeading 3,Subheading 1"/>
    <w:basedOn w:val="Normal"/>
    <w:next w:val="Normal"/>
    <w:link w:val="Heading3Char"/>
    <w:uiPriority w:val="9"/>
    <w:unhideWhenUsed/>
    <w:qFormat/>
    <w:rsid w:val="003A2C64"/>
    <w:pPr>
      <w:keepNext/>
      <w:spacing w:before="240" w:after="240"/>
      <w:ind w:left="851" w:hanging="851"/>
      <w:outlineLvl w:val="2"/>
    </w:pPr>
    <w:rPr>
      <w:b/>
      <w:bCs/>
      <w:color w:val="17365D" w:themeColor="text2" w:themeShade="BF"/>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3A2C64"/>
    <w:rPr>
      <w:rFonts w:ascii="Arial" w:hAnsi="Arial"/>
      <w:b/>
      <w:bCs/>
      <w:color w:val="17365D" w:themeColor="text2" w:themeShade="BF"/>
      <w:sz w:val="36"/>
      <w:szCs w:val="28"/>
      <w:lang w:eastAsia="en-US"/>
    </w:rPr>
  </w:style>
  <w:style w:type="character" w:customStyle="1" w:styleId="Heading2Char">
    <w:name w:val="Heading 2 Char"/>
    <w:aliases w:val="FSHeading 2 Char,Section heading Char"/>
    <w:link w:val="Heading2"/>
    <w:uiPriority w:val="9"/>
    <w:rsid w:val="003A2C64"/>
    <w:rPr>
      <w:rFonts w:ascii="Arial" w:hAnsi="Arial" w:cs="Arial"/>
      <w:b/>
      <w:bCs/>
      <w:color w:val="17365D" w:themeColor="text2" w:themeShade="BF"/>
      <w:sz w:val="28"/>
      <w:szCs w:val="22"/>
      <w:lang w:eastAsia="en-US"/>
    </w:rPr>
  </w:style>
  <w:style w:type="character" w:customStyle="1" w:styleId="Heading3Char">
    <w:name w:val="Heading 3 Char"/>
    <w:aliases w:val="FSHeading 3 Char,Subheading 1 Char"/>
    <w:link w:val="Heading3"/>
    <w:uiPriority w:val="9"/>
    <w:rsid w:val="003A2C64"/>
    <w:rPr>
      <w:rFonts w:ascii="Arial" w:hAnsi="Arial"/>
      <w:b/>
      <w:bCs/>
      <w:color w:val="17365D" w:themeColor="text2" w:themeShade="BF"/>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152781"/>
    <w:pPr>
      <w:tabs>
        <w:tab w:val="left" w:pos="567"/>
        <w:tab w:val="right" w:leader="dot" w:pos="9060"/>
      </w:tabs>
      <w:spacing w:before="120" w:after="120"/>
    </w:pPr>
    <w:rPr>
      <w:rFonts w:cs="Arial"/>
      <w:b/>
      <w:bCs/>
      <w:caps/>
      <w:noProof/>
      <w:szCs w:val="22"/>
    </w:rPr>
  </w:style>
  <w:style w:type="paragraph" w:styleId="TOC2">
    <w:name w:val="toc 2"/>
    <w:basedOn w:val="Normal"/>
    <w:next w:val="Normal"/>
    <w:autoRedefine/>
    <w:uiPriority w:val="39"/>
    <w:rsid w:val="00D46F12"/>
    <w:pPr>
      <w:tabs>
        <w:tab w:val="left" w:pos="1134"/>
        <w:tab w:val="right" w:leader="dot" w:pos="9072"/>
      </w:tabs>
      <w:ind w:left="1134" w:right="804" w:hanging="567"/>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2"/>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FC5376"/>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styleId="Emphasis">
    <w:name w:val="Emphasis"/>
    <w:basedOn w:val="DefaultParagraphFont"/>
    <w:uiPriority w:val="20"/>
    <w:qFormat/>
    <w:rsid w:val="004B65C0"/>
    <w:rPr>
      <w:i/>
      <w:iCs/>
    </w:rPr>
  </w:style>
  <w:style w:type="character" w:customStyle="1" w:styleId="ms-rtefontsize-21">
    <w:name w:val="ms-rtefontsize-21"/>
    <w:basedOn w:val="DefaultParagraphFont"/>
    <w:rsid w:val="004B65C0"/>
    <w:rPr>
      <w:sz w:val="20"/>
      <w:szCs w:val="20"/>
    </w:rPr>
  </w:style>
  <w:style w:type="paragraph" w:styleId="ListParagraph">
    <w:name w:val="List Paragraph"/>
    <w:basedOn w:val="Normal"/>
    <w:uiPriority w:val="34"/>
    <w:qFormat/>
    <w:rsid w:val="004B65C0"/>
    <w:pPr>
      <w:widowControl/>
      <w:ind w:left="720"/>
      <w:contextualSpacing/>
    </w:pPr>
    <w:rPr>
      <w:color w:val="000000"/>
      <w:lang w:val="en-AU" w:eastAsia="en-AU" w:bidi="ar-SA"/>
    </w:rPr>
  </w:style>
  <w:style w:type="character" w:customStyle="1" w:styleId="FootnoteTextChar">
    <w:name w:val="Footnote Text Char"/>
    <w:aliases w:val="Footnotes Text Char,FSFootnotes Text Char"/>
    <w:basedOn w:val="DefaultParagraphFont"/>
    <w:link w:val="FootnoteText"/>
    <w:uiPriority w:val="5"/>
    <w:rsid w:val="0085272E"/>
    <w:rPr>
      <w:rFonts w:ascii="Arial" w:hAnsi="Arial"/>
      <w:lang w:eastAsia="en-US" w:bidi="en-US"/>
    </w:rPr>
  </w:style>
  <w:style w:type="character" w:customStyle="1" w:styleId="HeaderChar">
    <w:name w:val="Header Char"/>
    <w:basedOn w:val="DefaultParagraphFont"/>
    <w:link w:val="Header"/>
    <w:uiPriority w:val="99"/>
    <w:rsid w:val="00042A65"/>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6466">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91974305">
      <w:bodyDiv w:val="1"/>
      <w:marLeft w:val="0"/>
      <w:marRight w:val="0"/>
      <w:marTop w:val="0"/>
      <w:marBottom w:val="0"/>
      <w:divBdr>
        <w:top w:val="none" w:sz="0" w:space="0" w:color="auto"/>
        <w:left w:val="none" w:sz="0" w:space="0" w:color="auto"/>
        <w:bottom w:val="none" w:sz="0" w:space="0" w:color="auto"/>
        <w:right w:val="none" w:sz="0" w:space="0" w:color="auto"/>
      </w:divBdr>
    </w:div>
    <w:div w:id="1924295953">
      <w:bodyDiv w:val="1"/>
      <w:marLeft w:val="0"/>
      <w:marRight w:val="0"/>
      <w:marTop w:val="0"/>
      <w:marBottom w:val="0"/>
      <w:divBdr>
        <w:top w:val="none" w:sz="0" w:space="0" w:color="auto"/>
        <w:left w:val="none" w:sz="0" w:space="0" w:color="auto"/>
        <w:bottom w:val="none" w:sz="0" w:space="0" w:color="auto"/>
        <w:right w:val="none" w:sz="0" w:space="0" w:color="auto"/>
      </w:divBdr>
    </w:div>
    <w:div w:id="2064600849">
      <w:bodyDiv w:val="1"/>
      <w:marLeft w:val="0"/>
      <w:marRight w:val="0"/>
      <w:marTop w:val="0"/>
      <w:marBottom w:val="0"/>
      <w:divBdr>
        <w:top w:val="none" w:sz="0" w:space="0" w:color="auto"/>
        <w:left w:val="none" w:sz="0" w:space="0" w:color="auto"/>
        <w:bottom w:val="none" w:sz="0" w:space="0" w:color="auto"/>
        <w:right w:val="none" w:sz="0" w:space="0" w:color="auto"/>
      </w:divBdr>
    </w:div>
    <w:div w:id="20693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ivilservice.gov.uk/networks/gsr/resources-and-guidance"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foodstandards.gov.au/publications/Pages/costscheduleforfoodl5765.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labellingreview.gov.au/internet/foodlabelling/publishing.nsf/content/48C0548D80E715BCCA257825001E5DC0/$File/Labelling%20Logic_2011.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stats.abs.gov.au/ausstats/meisubs.nsf/0/A619C679A4F7100DCA257C15001A141C/$File/64270_sep%202013.pdf" TargetMode="External"/><Relationship Id="rId20" Type="http://schemas.openxmlformats.org/officeDocument/2006/relationships/hyperlink" Target="http://www.nhmrc.gov.au/guidelines/publications/n35-n36-n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ars.usda.gov/main/site_main.htm?modecode=12-35-45-00" TargetMode="External"/><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abs.gov.au/AUSSTATS/abs@.nsf/DetailsPage/4805.01995?OpenDocume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publications/documents/Consumer%20Attitudes%20Survey.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B59A2-999E-4A42-A720-8246F22CC8BC}"/>
</file>

<file path=customXml/itemProps2.xml><?xml version="1.0" encoding="utf-8"?>
<ds:datastoreItem xmlns:ds="http://schemas.openxmlformats.org/officeDocument/2006/customXml" ds:itemID="{609678FF-4D1C-433B-89EE-9B994723AAB7}"/>
</file>

<file path=customXml/itemProps3.xml><?xml version="1.0" encoding="utf-8"?>
<ds:datastoreItem xmlns:ds="http://schemas.openxmlformats.org/officeDocument/2006/customXml" ds:itemID="{EC9C2F40-72A9-4355-BEF3-BD0D37A0486B}"/>
</file>

<file path=customXml/itemProps4.xml><?xml version="1.0" encoding="utf-8"?>
<ds:datastoreItem xmlns:ds="http://schemas.openxmlformats.org/officeDocument/2006/customXml" ds:itemID="{306EE6A0-6DDA-4E36-89CF-EFE6104B43EA}"/>
</file>

<file path=docProps/app.xml><?xml version="1.0" encoding="utf-8"?>
<Properties xmlns="http://schemas.openxmlformats.org/officeDocument/2006/extended-properties" xmlns:vt="http://schemas.openxmlformats.org/officeDocument/2006/docPropsVTypes">
  <Template>Normal</Template>
  <TotalTime>0</TotalTime>
  <Pages>15</Pages>
  <Words>6133</Words>
  <Characters>37129</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43176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evaluation report fibre</dc:title>
  <dc:creator/>
  <cp:lastModifiedBy/>
  <cp:revision>1</cp:revision>
  <dcterms:created xsi:type="dcterms:W3CDTF">2014-07-25T01:41:00Z</dcterms:created>
  <dcterms:modified xsi:type="dcterms:W3CDTF">2014-07-25T01:41:00Z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